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46D3" w14:textId="77777777" w:rsidR="00AD19BE" w:rsidRPr="0000131B" w:rsidRDefault="00AD19BE" w:rsidP="00AD19BE">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2013152</w:t>
      </w:r>
      <w:bookmarkEnd w:id="0"/>
    </w:p>
    <w:p w14:paraId="1FADD749" w14:textId="77777777" w:rsidR="00AD19BE" w:rsidRPr="00DB7060" w:rsidRDefault="00AD19BE" w:rsidP="00AD19BE">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6B28BBB2" w14:textId="77777777" w:rsidR="00AD19BE" w:rsidRPr="00F67051" w:rsidRDefault="00AD19BE" w:rsidP="00AD19BE">
      <w:pPr>
        <w:rPr>
          <w:rFonts w:cs="David"/>
          <w:b/>
          <w:bCs/>
          <w:sz w:val="26"/>
          <w:szCs w:val="26"/>
          <w:rtl/>
        </w:rPr>
      </w:pPr>
    </w:p>
    <w:p w14:paraId="135F470B" w14:textId="77777777" w:rsidR="00F956D0" w:rsidRDefault="00AD19BE" w:rsidP="00F956D0">
      <w:pPr>
        <w:pStyle w:val="David"/>
        <w:spacing w:before="0" w:line="360" w:lineRule="auto"/>
        <w:ind w:left="3544"/>
        <w:rPr>
          <w:b/>
          <w:bCs/>
          <w:rtl/>
        </w:rPr>
      </w:pPr>
      <w:bookmarkStart w:id="2" w:name="LGS_Initiators_List"/>
      <w:r>
        <w:rPr>
          <w:b/>
          <w:bCs/>
          <w:rtl/>
        </w:rPr>
        <w:t>יוזמים:      חברי הכנסת</w:t>
      </w:r>
      <w:bookmarkEnd w:id="2"/>
      <w:r w:rsidRPr="00F67051">
        <w:rPr>
          <w:b/>
          <w:bCs/>
        </w:rPr>
        <w:tab/>
      </w:r>
      <w:bookmarkStart w:id="3" w:name="LGS_PM_Names"/>
      <w:r>
        <w:rPr>
          <w:rFonts w:hint="cs"/>
          <w:b/>
          <w:bCs/>
          <w:rtl/>
        </w:rPr>
        <w:t>יפעת שאשא ביטון</w:t>
      </w:r>
      <w:r>
        <w:br/>
      </w:r>
      <w:r>
        <w:rPr>
          <w:rFonts w:hint="cs"/>
          <w:b/>
          <w:bCs/>
          <w:rtl/>
        </w:rPr>
        <w:t xml:space="preserve"> </w:t>
      </w:r>
      <w:r>
        <w:tab/>
      </w:r>
      <w:r>
        <w:tab/>
      </w:r>
      <w:r>
        <w:tab/>
      </w:r>
      <w:r>
        <w:tab/>
      </w:r>
      <w:r>
        <w:rPr>
          <w:rFonts w:hint="cs"/>
          <w:b/>
          <w:bCs/>
          <w:rtl/>
        </w:rPr>
        <w:t>טלי פלוסקוב</w:t>
      </w:r>
      <w:r>
        <w:br/>
      </w:r>
      <w:r>
        <w:rPr>
          <w:rFonts w:hint="cs"/>
          <w:b/>
          <w:bCs/>
          <w:rtl/>
        </w:rPr>
        <w:t xml:space="preserve"> </w:t>
      </w:r>
      <w:r>
        <w:tab/>
      </w:r>
      <w:r>
        <w:tab/>
      </w:r>
      <w:r>
        <w:tab/>
      </w:r>
      <w:r>
        <w:tab/>
      </w:r>
      <w:r>
        <w:rPr>
          <w:rFonts w:hint="cs"/>
          <w:b/>
          <w:bCs/>
          <w:rtl/>
        </w:rPr>
        <w:t>אכרם חסון</w:t>
      </w:r>
      <w:r>
        <w:br/>
      </w:r>
      <w:r>
        <w:rPr>
          <w:rFonts w:hint="cs"/>
          <w:b/>
          <w:bCs/>
          <w:rtl/>
        </w:rPr>
        <w:t xml:space="preserve"> </w:t>
      </w:r>
      <w:r>
        <w:tab/>
      </w:r>
      <w:r>
        <w:tab/>
      </w:r>
      <w:r>
        <w:tab/>
      </w:r>
      <w:r>
        <w:tab/>
      </w:r>
      <w:r>
        <w:rPr>
          <w:rFonts w:hint="cs"/>
          <w:b/>
          <w:bCs/>
          <w:rtl/>
        </w:rPr>
        <w:t>זוהיר בהלול</w:t>
      </w:r>
      <w:r>
        <w:br/>
      </w:r>
      <w:r>
        <w:rPr>
          <w:rFonts w:hint="cs"/>
          <w:b/>
          <w:bCs/>
          <w:rtl/>
        </w:rPr>
        <w:t xml:space="preserve"> </w:t>
      </w:r>
      <w:r>
        <w:tab/>
      </w:r>
      <w:r>
        <w:tab/>
      </w:r>
      <w:r>
        <w:tab/>
      </w:r>
      <w:r>
        <w:tab/>
      </w:r>
      <w:r w:rsidR="00F956D0">
        <w:rPr>
          <w:rFonts w:hint="cs"/>
          <w:b/>
          <w:bCs/>
          <w:rtl/>
        </w:rPr>
        <w:t xml:space="preserve">איתן ברושי </w:t>
      </w:r>
    </w:p>
    <w:p w14:paraId="236F7F4A" w14:textId="77777777" w:rsidR="00F956D0" w:rsidRDefault="00AD19BE" w:rsidP="00F956D0">
      <w:pPr>
        <w:pStyle w:val="David"/>
        <w:spacing w:before="0" w:line="360" w:lineRule="auto"/>
        <w:ind w:left="5760" w:firstLine="720"/>
        <w:rPr>
          <w:b/>
          <w:bCs/>
          <w:rtl/>
        </w:rPr>
      </w:pPr>
      <w:r>
        <w:rPr>
          <w:rFonts w:hint="cs"/>
          <w:b/>
          <w:bCs/>
          <w:rtl/>
        </w:rPr>
        <w:t>רחל עזריה</w:t>
      </w:r>
      <w:r w:rsidR="00F956D0" w:rsidRPr="00F956D0">
        <w:rPr>
          <w:rFonts w:hint="cs"/>
          <w:b/>
          <w:bCs/>
          <w:rtl/>
        </w:rPr>
        <w:t xml:space="preserve"> </w:t>
      </w:r>
    </w:p>
    <w:p w14:paraId="3C369E6A" w14:textId="0772EE38" w:rsidR="00F956D0" w:rsidRDefault="00F956D0" w:rsidP="00F956D0">
      <w:pPr>
        <w:pStyle w:val="David"/>
        <w:spacing w:before="0" w:line="360" w:lineRule="auto"/>
        <w:ind w:left="5760" w:firstLine="720"/>
      </w:pPr>
      <w:r>
        <w:rPr>
          <w:rFonts w:hint="cs"/>
          <w:b/>
          <w:bCs/>
          <w:rtl/>
        </w:rPr>
        <w:t>איתן כבל</w:t>
      </w:r>
    </w:p>
    <w:p w14:paraId="14FB930D" w14:textId="18134327" w:rsidR="00AD19BE" w:rsidRPr="00CF1AA2" w:rsidRDefault="00AD19BE" w:rsidP="00F956D0">
      <w:pPr>
        <w:pStyle w:val="David"/>
        <w:spacing w:before="0" w:line="360" w:lineRule="auto"/>
        <w:ind w:left="5760" w:firstLine="720"/>
        <w:rPr>
          <w:b/>
          <w:bCs/>
          <w:sz w:val="16"/>
          <w:szCs w:val="16"/>
          <w:rtl/>
        </w:rPr>
      </w:pPr>
      <w:r>
        <w:rPr>
          <w:rFonts w:hint="cs"/>
          <w:b/>
          <w:bCs/>
          <w:rtl/>
        </w:rPr>
        <w:t>איילת נחמיאס ורבין</w:t>
      </w:r>
      <w:r>
        <w:tab/>
      </w:r>
      <w:r>
        <w:tab/>
      </w:r>
      <w:r>
        <w:rPr>
          <w:rFonts w:hint="cs"/>
          <w:b/>
          <w:bCs/>
          <w:rtl/>
        </w:rPr>
        <w:t>מירב בן ארי</w:t>
      </w:r>
      <w:r>
        <w:br/>
      </w:r>
      <w:r>
        <w:rPr>
          <w:rFonts w:hint="cs"/>
          <w:b/>
          <w:bCs/>
          <w:rtl/>
        </w:rPr>
        <w:t xml:space="preserve"> </w:t>
      </w:r>
      <w:r>
        <w:tab/>
      </w:r>
      <w:r>
        <w:rPr>
          <w:rFonts w:hint="cs"/>
          <w:b/>
          <w:bCs/>
          <w:rtl/>
        </w:rPr>
        <w:t>רועי פולקמן</w:t>
      </w:r>
      <w:r>
        <w:tab/>
      </w:r>
      <w:r>
        <w:tab/>
      </w:r>
      <w:r>
        <w:tab/>
      </w:r>
      <w:r>
        <w:tab/>
      </w:r>
      <w:r w:rsidR="00F956D0">
        <w:rPr>
          <w:rFonts w:hint="cs"/>
          <w:b/>
          <w:bCs/>
          <w:rtl/>
        </w:rPr>
        <w:t>שולי מועלם-רפאל</w:t>
      </w:r>
      <w:r w:rsidR="00F956D0">
        <w:tab/>
      </w:r>
      <w:r w:rsidR="00F956D0">
        <w:tab/>
      </w:r>
      <w:r w:rsidR="00F956D0">
        <w:tab/>
      </w:r>
      <w:r>
        <w:rPr>
          <w:rFonts w:hint="cs"/>
          <w:b/>
          <w:bCs/>
          <w:rtl/>
        </w:rPr>
        <w:t>ענת ברקו</w:t>
      </w:r>
      <w:r>
        <w:br/>
      </w:r>
      <w:r>
        <w:rPr>
          <w:rFonts w:hint="cs"/>
          <w:b/>
          <w:bCs/>
          <w:rtl/>
        </w:rPr>
        <w:t xml:space="preserve"> </w:t>
      </w:r>
      <w:r w:rsidR="00F956D0">
        <w:tab/>
      </w:r>
      <w:r>
        <w:rPr>
          <w:rFonts w:hint="cs"/>
          <w:b/>
          <w:bCs/>
          <w:rtl/>
        </w:rPr>
        <w:t>אברהם נגוסה</w:t>
      </w:r>
      <w:r>
        <w:br/>
      </w:r>
      <w:r>
        <w:rPr>
          <w:rFonts w:hint="cs"/>
          <w:b/>
          <w:bCs/>
          <w:rtl/>
        </w:rPr>
        <w:t xml:space="preserve"> </w:t>
      </w:r>
      <w:r w:rsidR="00F956D0">
        <w:tab/>
      </w:r>
      <w:r>
        <w:rPr>
          <w:rFonts w:hint="cs"/>
          <w:b/>
          <w:bCs/>
          <w:rtl/>
        </w:rPr>
        <w:t>מכלוף מיקי זוהר</w:t>
      </w:r>
      <w:r>
        <w:br/>
      </w:r>
      <w:r>
        <w:rPr>
          <w:rFonts w:hint="cs"/>
          <w:b/>
          <w:bCs/>
          <w:rtl/>
        </w:rPr>
        <w:t xml:space="preserve"> </w:t>
      </w:r>
      <w:r w:rsidR="00F956D0">
        <w:tab/>
      </w:r>
      <w:r>
        <w:rPr>
          <w:rFonts w:hint="cs"/>
          <w:b/>
          <w:bCs/>
          <w:rtl/>
        </w:rPr>
        <w:t>מרדכי יוגב</w:t>
      </w:r>
      <w:r>
        <w:br/>
      </w:r>
      <w:r>
        <w:rPr>
          <w:rFonts w:hint="cs"/>
          <w:b/>
          <w:bCs/>
          <w:rtl/>
        </w:rPr>
        <w:t xml:space="preserve"> </w:t>
      </w:r>
      <w:r w:rsidR="00F956D0">
        <w:tab/>
      </w:r>
      <w:r>
        <w:rPr>
          <w:rFonts w:hint="cs"/>
          <w:b/>
          <w:bCs/>
          <w:rtl/>
        </w:rPr>
        <w:t>יעקב מרגי</w:t>
      </w:r>
      <w:r>
        <w:br/>
      </w:r>
      <w:r>
        <w:rPr>
          <w:rFonts w:hint="cs"/>
          <w:b/>
          <w:bCs/>
          <w:rtl/>
        </w:rPr>
        <w:t xml:space="preserve"> </w:t>
      </w:r>
      <w:r w:rsidR="00F956D0">
        <w:tab/>
      </w:r>
      <w:r>
        <w:rPr>
          <w:rFonts w:hint="cs"/>
          <w:b/>
          <w:bCs/>
          <w:rtl/>
        </w:rPr>
        <w:t>אורי מקלב</w:t>
      </w:r>
      <w:r>
        <w:br/>
      </w:r>
      <w:r>
        <w:rPr>
          <w:rFonts w:hint="cs"/>
          <w:b/>
          <w:bCs/>
          <w:rtl/>
        </w:rPr>
        <w:t xml:space="preserve"> </w:t>
      </w:r>
      <w:r w:rsidR="00F956D0">
        <w:tab/>
      </w:r>
      <w:r>
        <w:rPr>
          <w:rFonts w:hint="cs"/>
          <w:b/>
          <w:bCs/>
          <w:rtl/>
        </w:rPr>
        <w:t>יוליה מלינובסקי</w:t>
      </w:r>
      <w:r>
        <w:br/>
      </w:r>
      <w:r>
        <w:rPr>
          <w:rFonts w:hint="cs"/>
          <w:b/>
          <w:bCs/>
          <w:rtl/>
        </w:rPr>
        <w:t xml:space="preserve"> </w:t>
      </w:r>
      <w:r w:rsidR="00F956D0">
        <w:tab/>
      </w:r>
      <w:r>
        <w:rPr>
          <w:rFonts w:hint="cs"/>
          <w:b/>
          <w:bCs/>
          <w:rtl/>
        </w:rPr>
        <w:t>תמר זנדברג</w:t>
      </w:r>
      <w:bookmarkEnd w:id="3"/>
      <w:r w:rsidRPr="00CF1AA2">
        <w:rPr>
          <w:rFonts w:hint="cs"/>
          <w:rtl/>
        </w:rPr>
        <w:tab/>
      </w:r>
      <w:bookmarkStart w:id="4" w:name="LGS_PM_NamesJoin"/>
      <w:r>
        <w:rPr>
          <w:rFonts w:hint="cs"/>
          <w:rtl/>
        </w:rPr>
        <w:t xml:space="preserve"> </w:t>
      </w:r>
      <w:bookmarkEnd w:id="4"/>
    </w:p>
    <w:p w14:paraId="12452567" w14:textId="77777777" w:rsidR="00AD19BE" w:rsidRPr="00904591" w:rsidRDefault="00AD19BE" w:rsidP="00AD19BE">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01B8A56E" w14:textId="77777777" w:rsidR="00AD19BE" w:rsidRPr="00E06736" w:rsidRDefault="00AD19BE" w:rsidP="00AD19BE">
      <w:pPr>
        <w:pStyle w:val="David"/>
        <w:spacing w:before="0" w:line="240" w:lineRule="auto"/>
        <w:ind w:left="3544"/>
        <w:rPr>
          <w:rtl/>
        </w:rPr>
      </w:pPr>
      <w:r>
        <w:t xml:space="preserve">                                             </w:t>
      </w:r>
      <w:bookmarkStart w:id="5" w:name="Private_Number"/>
      <w:r>
        <w:rPr>
          <w:rFonts w:hint="cs"/>
          <w:rtl/>
        </w:rPr>
        <w:t>פ/3942/20</w:t>
      </w:r>
      <w:bookmarkEnd w:id="5"/>
    </w:p>
    <w:p w14:paraId="23AF2B9A" w14:textId="77777777" w:rsidR="00AD19BE" w:rsidRDefault="00AD19BE" w:rsidP="00AD19BE">
      <w:pPr>
        <w:spacing w:before="0" w:line="360" w:lineRule="auto"/>
        <w:ind w:left="2880" w:firstLine="720"/>
        <w:rPr>
          <w:rFonts w:cs="David"/>
          <w:sz w:val="26"/>
          <w:szCs w:val="26"/>
          <w:rtl/>
        </w:rPr>
      </w:pPr>
    </w:p>
    <w:p w14:paraId="12288718" w14:textId="0742E40C" w:rsidR="00AD19BE" w:rsidRPr="00FF49DA" w:rsidRDefault="00AD19BE" w:rsidP="00FF49DA">
      <w:pPr>
        <w:pStyle w:val="Heading1"/>
        <w:rPr>
          <w:color w:val="auto"/>
          <w:rtl/>
        </w:rPr>
      </w:pPr>
      <w:bookmarkStart w:id="6" w:name="LGS_Subject"/>
      <w:bookmarkStart w:id="7" w:name="_GoBack"/>
      <w:r w:rsidRPr="00FF49DA">
        <w:rPr>
          <w:rFonts w:hint="cs"/>
          <w:color w:val="auto"/>
          <w:rtl/>
        </w:rPr>
        <w:t xml:space="preserve">הצעת חוק הגנת הפרטיות (תיקון </w:t>
      </w:r>
      <w:r w:rsidR="00F956D0" w:rsidRPr="00FF49DA">
        <w:rPr>
          <w:rFonts w:hint="eastAsia"/>
          <w:color w:val="auto"/>
          <w:rtl/>
        </w:rPr>
        <w:t>–</w:t>
      </w:r>
      <w:r w:rsidRPr="00FF49DA">
        <w:rPr>
          <w:rFonts w:hint="cs"/>
          <w:color w:val="auto"/>
          <w:rtl/>
        </w:rPr>
        <w:t xml:space="preserve"> הגנה על פרטיות של קטינים), התשע"ז</w:t>
      </w:r>
      <w:r w:rsidR="00F956D0" w:rsidRPr="00FF49DA">
        <w:rPr>
          <w:rFonts w:hint="eastAsia"/>
          <w:color w:val="auto"/>
          <w:rtl/>
        </w:rPr>
        <w:t>–</w:t>
      </w:r>
      <w:r w:rsidRPr="00FF49DA">
        <w:rPr>
          <w:rFonts w:hint="cs"/>
          <w:color w:val="auto"/>
          <w:rtl/>
        </w:rPr>
        <w:t>2017</w:t>
      </w:r>
      <w:bookmarkEnd w:id="6"/>
    </w:p>
    <w:bookmarkEnd w:id="7"/>
    <w:p w14:paraId="37D36D86" w14:textId="77777777" w:rsidR="00AD19BE" w:rsidRDefault="00AD19BE" w:rsidP="00AD19BE">
      <w:pPr>
        <w:pStyle w:val="HeadDivreiHesber"/>
        <w:spacing w:before="0" w:after="0"/>
        <w:rPr>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4"/>
        <w:gridCol w:w="624"/>
        <w:gridCol w:w="624"/>
        <w:gridCol w:w="624"/>
        <w:gridCol w:w="4023"/>
      </w:tblGrid>
      <w:tr w:rsidR="00AD19BE" w14:paraId="226E507B" w14:textId="77777777" w:rsidTr="00BD4E04">
        <w:trPr>
          <w:cantSplit/>
        </w:trPr>
        <w:tc>
          <w:tcPr>
            <w:tcW w:w="1869" w:type="dxa"/>
          </w:tcPr>
          <w:p w14:paraId="451D844C" w14:textId="77777777" w:rsidR="00AD19BE" w:rsidRPr="00BF3BAF" w:rsidRDefault="00AD19BE" w:rsidP="00BD4E04">
            <w:pPr>
              <w:pStyle w:val="TableSideHeading"/>
              <w:keepLines w:val="0"/>
              <w:ind w:right="0"/>
              <w:rPr>
                <w:sz w:val="26"/>
              </w:rPr>
            </w:pPr>
            <w:r w:rsidRPr="00DF18A2">
              <w:rPr>
                <w:rFonts w:ascii="David" w:hAnsi="David" w:hint="eastAsia"/>
                <w:i/>
                <w:sz w:val="26"/>
                <w:rtl/>
              </w:rPr>
              <w:t>הוספת</w:t>
            </w:r>
            <w:r w:rsidRPr="00DF18A2">
              <w:rPr>
                <w:rFonts w:ascii="David" w:hAnsi="David"/>
                <w:i/>
                <w:sz w:val="26"/>
                <w:rtl/>
              </w:rPr>
              <w:t xml:space="preserve"> </w:t>
            </w:r>
            <w:r w:rsidRPr="00DF18A2">
              <w:rPr>
                <w:rFonts w:ascii="David" w:hAnsi="David" w:hint="eastAsia"/>
                <w:i/>
                <w:sz w:val="26"/>
                <w:rtl/>
              </w:rPr>
              <w:t>סעיף</w:t>
            </w:r>
            <w:r w:rsidRPr="00DF18A2">
              <w:rPr>
                <w:rFonts w:ascii="David" w:hAnsi="David"/>
                <w:i/>
                <w:sz w:val="26"/>
                <w:rtl/>
              </w:rPr>
              <w:t xml:space="preserve"> 1א</w:t>
            </w:r>
          </w:p>
        </w:tc>
        <w:tc>
          <w:tcPr>
            <w:tcW w:w="624" w:type="dxa"/>
          </w:tcPr>
          <w:p w14:paraId="1869308D" w14:textId="77777777" w:rsidR="00AD19BE" w:rsidRPr="00BF3BAF" w:rsidRDefault="00AD19BE" w:rsidP="00BD4E04">
            <w:pPr>
              <w:pStyle w:val="TableText"/>
              <w:ind w:right="0"/>
              <w:jc w:val="both"/>
              <w:rPr>
                <w:sz w:val="26"/>
              </w:rPr>
            </w:pPr>
            <w:r w:rsidRPr="00BF3BAF">
              <w:rPr>
                <w:rFonts w:hint="cs"/>
                <w:sz w:val="26"/>
                <w:rtl/>
              </w:rPr>
              <w:t>1.</w:t>
            </w:r>
          </w:p>
        </w:tc>
        <w:tc>
          <w:tcPr>
            <w:tcW w:w="7143" w:type="dxa"/>
            <w:gridSpan w:val="6"/>
          </w:tcPr>
          <w:p w14:paraId="16785C01" w14:textId="20D4B41C" w:rsidR="00AD19BE" w:rsidRPr="00BF3BAF" w:rsidRDefault="00AD19BE" w:rsidP="00BD4E04">
            <w:pPr>
              <w:pStyle w:val="TableBlock"/>
              <w:rPr>
                <w:sz w:val="26"/>
              </w:rPr>
            </w:pPr>
            <w:r w:rsidRPr="00DF18A2">
              <w:rPr>
                <w:rFonts w:hint="eastAsia"/>
                <w:sz w:val="26"/>
                <w:rtl/>
              </w:rPr>
              <w:t>בחוק</w:t>
            </w:r>
            <w:r w:rsidRPr="00DF18A2">
              <w:rPr>
                <w:sz w:val="26"/>
                <w:rtl/>
              </w:rPr>
              <w:t xml:space="preserve"> הגנת הפרטיות, </w:t>
            </w:r>
            <w:r w:rsidRPr="00DF18A2">
              <w:rPr>
                <w:rFonts w:hint="eastAsia"/>
                <w:sz w:val="26"/>
                <w:rtl/>
              </w:rPr>
              <w:t>התשמ</w:t>
            </w:r>
            <w:r w:rsidRPr="00DF18A2">
              <w:rPr>
                <w:sz w:val="26"/>
                <w:rtl/>
              </w:rPr>
              <w:t>"א</w:t>
            </w:r>
            <w:r w:rsidRPr="00DF18A2">
              <w:rPr>
                <w:rFonts w:hint="eastAsia"/>
                <w:sz w:val="26"/>
                <w:rtl/>
              </w:rPr>
              <w:t>–</w:t>
            </w:r>
            <w:r w:rsidRPr="00DF18A2">
              <w:rPr>
                <w:sz w:val="26"/>
                <w:rtl/>
              </w:rPr>
              <w:t>1981</w:t>
            </w:r>
            <w:r w:rsidRPr="00BF3BAF">
              <w:rPr>
                <w:rStyle w:val="FootnoteReference"/>
                <w:sz w:val="26"/>
                <w:rtl/>
              </w:rPr>
              <w:footnoteReference w:id="2"/>
            </w:r>
            <w:r w:rsidRPr="00DF18A2">
              <w:rPr>
                <w:sz w:val="26"/>
                <w:rtl/>
              </w:rPr>
              <w:t xml:space="preserve"> (להלן – </w:t>
            </w:r>
            <w:r w:rsidRPr="00DF18A2">
              <w:rPr>
                <w:rFonts w:hint="eastAsia"/>
                <w:sz w:val="26"/>
                <w:rtl/>
              </w:rPr>
              <w:t>החוק</w:t>
            </w:r>
            <w:r w:rsidRPr="00DF18A2">
              <w:rPr>
                <w:sz w:val="26"/>
                <w:rtl/>
              </w:rPr>
              <w:t xml:space="preserve"> </w:t>
            </w:r>
            <w:r w:rsidRPr="00DF18A2">
              <w:rPr>
                <w:rFonts w:hint="eastAsia"/>
                <w:sz w:val="26"/>
                <w:rtl/>
              </w:rPr>
              <w:t>העיקרי</w:t>
            </w:r>
            <w:r w:rsidRPr="00DF18A2">
              <w:rPr>
                <w:sz w:val="26"/>
                <w:rtl/>
              </w:rPr>
              <w:t xml:space="preserve">), </w:t>
            </w:r>
            <w:r w:rsidRPr="00DF18A2">
              <w:rPr>
                <w:rFonts w:hint="eastAsia"/>
                <w:sz w:val="26"/>
                <w:rtl/>
              </w:rPr>
              <w:t>אחרי</w:t>
            </w:r>
            <w:r w:rsidRPr="00DF18A2">
              <w:rPr>
                <w:sz w:val="26"/>
                <w:rtl/>
              </w:rPr>
              <w:t xml:space="preserve"> </w:t>
            </w:r>
            <w:r w:rsidRPr="00DF18A2">
              <w:rPr>
                <w:rFonts w:hint="eastAsia"/>
                <w:sz w:val="26"/>
                <w:rtl/>
              </w:rPr>
              <w:t>סעיף</w:t>
            </w:r>
            <w:r w:rsidRPr="00DF18A2">
              <w:rPr>
                <w:sz w:val="26"/>
                <w:rtl/>
              </w:rPr>
              <w:t xml:space="preserve"> 1 </w:t>
            </w:r>
            <w:r w:rsidRPr="00DF18A2">
              <w:rPr>
                <w:rFonts w:hint="eastAsia"/>
                <w:sz w:val="26"/>
                <w:rtl/>
              </w:rPr>
              <w:t>יבוא</w:t>
            </w:r>
            <w:r w:rsidR="009D7F88">
              <w:rPr>
                <w:rFonts w:hint="cs"/>
                <w:sz w:val="26"/>
                <w:rtl/>
              </w:rPr>
              <w:t>:</w:t>
            </w:r>
          </w:p>
        </w:tc>
      </w:tr>
      <w:tr w:rsidR="00AD19BE" w14:paraId="06D87062" w14:textId="77777777" w:rsidTr="00BD4E04">
        <w:trPr>
          <w:cantSplit/>
        </w:trPr>
        <w:tc>
          <w:tcPr>
            <w:tcW w:w="1869" w:type="dxa"/>
          </w:tcPr>
          <w:p w14:paraId="7D124869" w14:textId="77777777" w:rsidR="00AD19BE" w:rsidRDefault="00AD19BE" w:rsidP="00BD4E04">
            <w:pPr>
              <w:pStyle w:val="TableSideHeading"/>
              <w:keepLines w:val="0"/>
            </w:pPr>
          </w:p>
        </w:tc>
        <w:tc>
          <w:tcPr>
            <w:tcW w:w="624" w:type="dxa"/>
          </w:tcPr>
          <w:p w14:paraId="4170DA28" w14:textId="77777777" w:rsidR="00AD19BE" w:rsidRDefault="00AD19BE" w:rsidP="00BD4E04">
            <w:pPr>
              <w:pStyle w:val="TableText"/>
              <w:keepLines w:val="0"/>
            </w:pPr>
          </w:p>
        </w:tc>
        <w:tc>
          <w:tcPr>
            <w:tcW w:w="1872" w:type="dxa"/>
            <w:gridSpan w:val="3"/>
          </w:tcPr>
          <w:p w14:paraId="216E0DAB" w14:textId="77777777" w:rsidR="00AD19BE" w:rsidRDefault="00AD19BE" w:rsidP="00BD4E04">
            <w:pPr>
              <w:pStyle w:val="TableInnerSideHeading"/>
            </w:pPr>
            <w:r w:rsidRPr="00BF3BAF">
              <w:rPr>
                <w:rFonts w:hint="cs"/>
                <w:sz w:val="26"/>
                <w:rtl/>
              </w:rPr>
              <w:t>"פרטיות קטינים</w:t>
            </w:r>
          </w:p>
        </w:tc>
        <w:tc>
          <w:tcPr>
            <w:tcW w:w="624" w:type="dxa"/>
          </w:tcPr>
          <w:p w14:paraId="160F2A7F" w14:textId="5A776183" w:rsidR="00AD19BE" w:rsidRDefault="00AD19BE" w:rsidP="00BD4E04">
            <w:pPr>
              <w:pStyle w:val="TableText"/>
            </w:pPr>
            <w:r w:rsidRPr="00BF3BAF">
              <w:rPr>
                <w:rFonts w:hint="cs"/>
                <w:sz w:val="26"/>
                <w:rtl/>
              </w:rPr>
              <w:t>1א</w:t>
            </w:r>
            <w:r>
              <w:rPr>
                <w:rFonts w:hint="cs"/>
                <w:rtl/>
              </w:rPr>
              <w:t>.</w:t>
            </w:r>
          </w:p>
        </w:tc>
        <w:tc>
          <w:tcPr>
            <w:tcW w:w="4647" w:type="dxa"/>
            <w:gridSpan w:val="2"/>
          </w:tcPr>
          <w:p w14:paraId="5EDE07A7" w14:textId="77777777" w:rsidR="00AD19BE" w:rsidRDefault="00AD19BE" w:rsidP="00BD4E04">
            <w:pPr>
              <w:pStyle w:val="TableBlock"/>
            </w:pPr>
            <w:r>
              <w:rPr>
                <w:rFonts w:hint="cs"/>
                <w:sz w:val="26"/>
                <w:rtl/>
              </w:rPr>
              <w:t xml:space="preserve">לא יפגע אדם בפרטיות של </w:t>
            </w:r>
            <w:r w:rsidRPr="00BF3BAF">
              <w:rPr>
                <w:rFonts w:hint="eastAsia"/>
                <w:sz w:val="26"/>
                <w:rtl/>
              </w:rPr>
              <w:t>קטין</w:t>
            </w:r>
            <w:r w:rsidRPr="00BF3BAF">
              <w:rPr>
                <w:sz w:val="26"/>
                <w:rtl/>
              </w:rPr>
              <w:t xml:space="preserve"> </w:t>
            </w:r>
            <w:r>
              <w:rPr>
                <w:rFonts w:hint="cs"/>
                <w:sz w:val="26"/>
                <w:rtl/>
              </w:rPr>
              <w:t>אלא לפי הוראות כל דין.</w:t>
            </w:r>
            <w:r>
              <w:rPr>
                <w:rFonts w:hint="cs"/>
                <w:rtl/>
              </w:rPr>
              <w:t>"</w:t>
            </w:r>
          </w:p>
        </w:tc>
      </w:tr>
      <w:tr w:rsidR="00AD19BE" w14:paraId="5A5C10D0" w14:textId="77777777" w:rsidTr="00BD4E04">
        <w:trPr>
          <w:cantSplit/>
        </w:trPr>
        <w:tc>
          <w:tcPr>
            <w:tcW w:w="1869" w:type="dxa"/>
          </w:tcPr>
          <w:p w14:paraId="385C037E" w14:textId="77777777" w:rsidR="00AD19BE" w:rsidRPr="00BF3BAF" w:rsidRDefault="00AD19BE" w:rsidP="00BD4E04">
            <w:pPr>
              <w:pStyle w:val="TableSideHeading"/>
              <w:keepLines w:val="0"/>
              <w:rPr>
                <w:sz w:val="26"/>
                <w:rtl/>
              </w:rPr>
            </w:pPr>
            <w:r w:rsidRPr="00BF3BAF">
              <w:rPr>
                <w:rFonts w:hint="cs"/>
                <w:sz w:val="26"/>
                <w:rtl/>
              </w:rPr>
              <w:t>תיקון סעיף 3</w:t>
            </w:r>
          </w:p>
        </w:tc>
        <w:tc>
          <w:tcPr>
            <w:tcW w:w="624" w:type="dxa"/>
          </w:tcPr>
          <w:p w14:paraId="3CFED2D6" w14:textId="77777777" w:rsidR="00AD19BE" w:rsidRPr="00BF3BAF" w:rsidRDefault="00AD19BE" w:rsidP="00BD4E04">
            <w:pPr>
              <w:pStyle w:val="TableText"/>
              <w:rPr>
                <w:sz w:val="26"/>
                <w:rtl/>
              </w:rPr>
            </w:pPr>
            <w:r w:rsidRPr="00BF3BAF">
              <w:rPr>
                <w:rFonts w:hint="cs"/>
                <w:sz w:val="26"/>
                <w:rtl/>
              </w:rPr>
              <w:t>2.</w:t>
            </w:r>
          </w:p>
        </w:tc>
        <w:tc>
          <w:tcPr>
            <w:tcW w:w="7143" w:type="dxa"/>
            <w:gridSpan w:val="6"/>
          </w:tcPr>
          <w:p w14:paraId="16EB4252" w14:textId="77777777" w:rsidR="00AD19BE" w:rsidRPr="00BF3BAF" w:rsidRDefault="00AD19BE" w:rsidP="00BD4E04">
            <w:pPr>
              <w:pStyle w:val="TableBlock"/>
              <w:rPr>
                <w:sz w:val="26"/>
                <w:rtl/>
              </w:rPr>
            </w:pPr>
            <w:r w:rsidRPr="00BF3BAF">
              <w:rPr>
                <w:rFonts w:hint="cs"/>
                <w:sz w:val="26"/>
                <w:rtl/>
              </w:rPr>
              <w:t>בסעיף 3 לחוק העיקרי</w:t>
            </w:r>
            <w:r w:rsidRPr="00DF18A2">
              <w:rPr>
                <w:sz w:val="26"/>
                <w:rtl/>
              </w:rPr>
              <w:t xml:space="preserve">, </w:t>
            </w:r>
            <w:r w:rsidRPr="00DF18A2">
              <w:rPr>
                <w:rFonts w:hint="eastAsia"/>
                <w:sz w:val="26"/>
                <w:rtl/>
              </w:rPr>
              <w:t>אחרי</w:t>
            </w:r>
            <w:r w:rsidRPr="00DF18A2">
              <w:rPr>
                <w:sz w:val="26"/>
                <w:rtl/>
              </w:rPr>
              <w:t xml:space="preserve"> </w:t>
            </w:r>
            <w:r w:rsidRPr="00DF18A2">
              <w:rPr>
                <w:rFonts w:hint="eastAsia"/>
                <w:sz w:val="26"/>
                <w:rtl/>
              </w:rPr>
              <w:t>ההגדרה</w:t>
            </w:r>
            <w:r w:rsidRPr="00DF18A2">
              <w:rPr>
                <w:sz w:val="26"/>
                <w:rtl/>
              </w:rPr>
              <w:t xml:space="preserve"> "</w:t>
            </w:r>
            <w:r w:rsidRPr="00BF3BAF">
              <w:rPr>
                <w:rFonts w:hint="cs"/>
                <w:sz w:val="26"/>
                <w:rtl/>
              </w:rPr>
              <w:t>צילום</w:t>
            </w:r>
            <w:r w:rsidRPr="00DF18A2">
              <w:rPr>
                <w:sz w:val="26"/>
                <w:rtl/>
              </w:rPr>
              <w:t xml:space="preserve">" </w:t>
            </w:r>
            <w:r w:rsidRPr="00DF18A2">
              <w:rPr>
                <w:rFonts w:hint="eastAsia"/>
                <w:sz w:val="26"/>
                <w:rtl/>
              </w:rPr>
              <w:t>יבוא</w:t>
            </w:r>
            <w:r w:rsidRPr="00DF18A2">
              <w:rPr>
                <w:sz w:val="26"/>
                <w:rtl/>
              </w:rPr>
              <w:t>:</w:t>
            </w:r>
          </w:p>
        </w:tc>
      </w:tr>
      <w:tr w:rsidR="00AD19BE" w14:paraId="24A46A0B" w14:textId="77777777" w:rsidTr="00BD4E04">
        <w:trPr>
          <w:cantSplit/>
        </w:trPr>
        <w:tc>
          <w:tcPr>
            <w:tcW w:w="1869" w:type="dxa"/>
          </w:tcPr>
          <w:p w14:paraId="18FDF147" w14:textId="77777777" w:rsidR="00AD19BE" w:rsidRPr="00BF3BAF" w:rsidRDefault="00AD19BE" w:rsidP="00BD4E04">
            <w:pPr>
              <w:pStyle w:val="TableSideHeading"/>
              <w:keepLines w:val="0"/>
              <w:rPr>
                <w:sz w:val="26"/>
                <w:rtl/>
              </w:rPr>
            </w:pPr>
          </w:p>
        </w:tc>
        <w:tc>
          <w:tcPr>
            <w:tcW w:w="624" w:type="dxa"/>
          </w:tcPr>
          <w:p w14:paraId="611DF1FB" w14:textId="77777777" w:rsidR="00AD19BE" w:rsidRPr="009F52BC" w:rsidRDefault="00AD19BE" w:rsidP="00BD4E04">
            <w:pPr>
              <w:pStyle w:val="TableBlockOutdent"/>
              <w:rPr>
                <w:rtl/>
              </w:rPr>
            </w:pPr>
          </w:p>
        </w:tc>
        <w:tc>
          <w:tcPr>
            <w:tcW w:w="7143" w:type="dxa"/>
            <w:gridSpan w:val="6"/>
          </w:tcPr>
          <w:p w14:paraId="54D90512" w14:textId="77777777" w:rsidR="00AD19BE" w:rsidRPr="009F52BC" w:rsidRDefault="00AD19BE" w:rsidP="00BD4E04">
            <w:pPr>
              <w:pStyle w:val="TableBlockOutdent"/>
              <w:rPr>
                <w:rtl/>
              </w:rPr>
            </w:pPr>
            <w:r w:rsidRPr="009F52BC">
              <w:rPr>
                <w:rtl/>
              </w:rPr>
              <w:t>"</w:t>
            </w:r>
            <w:r w:rsidRPr="009F52BC">
              <w:rPr>
                <w:rFonts w:hint="eastAsia"/>
                <w:rtl/>
              </w:rPr>
              <w:t>קטין</w:t>
            </w:r>
            <w:r w:rsidRPr="009F52BC">
              <w:rPr>
                <w:rtl/>
              </w:rPr>
              <w:t>" – אדם שטרם מלאו לו שמונה עשרה שנים.</w:t>
            </w:r>
          </w:p>
        </w:tc>
      </w:tr>
      <w:tr w:rsidR="00AD19BE" w14:paraId="00E4BF41" w14:textId="77777777" w:rsidTr="00BD4E04">
        <w:trPr>
          <w:cantSplit/>
        </w:trPr>
        <w:tc>
          <w:tcPr>
            <w:tcW w:w="1869" w:type="dxa"/>
          </w:tcPr>
          <w:p w14:paraId="5284EE0E" w14:textId="77777777" w:rsidR="00AD19BE" w:rsidRPr="00BF3BAF" w:rsidRDefault="00AD19BE" w:rsidP="00BD4E04">
            <w:pPr>
              <w:pStyle w:val="TableSideHeading"/>
              <w:keepLines w:val="0"/>
              <w:rPr>
                <w:sz w:val="26"/>
                <w:rtl/>
              </w:rPr>
            </w:pPr>
            <w:r w:rsidRPr="00BF3BAF">
              <w:rPr>
                <w:rFonts w:hint="cs"/>
                <w:sz w:val="26"/>
                <w:rtl/>
              </w:rPr>
              <w:lastRenderedPageBreak/>
              <w:t>תיקוף סעיף 5</w:t>
            </w:r>
          </w:p>
        </w:tc>
        <w:tc>
          <w:tcPr>
            <w:tcW w:w="624" w:type="dxa"/>
          </w:tcPr>
          <w:p w14:paraId="50AD628E" w14:textId="77777777" w:rsidR="00AD19BE" w:rsidRPr="00BF3BAF" w:rsidRDefault="00AD19BE" w:rsidP="00BD4E04">
            <w:pPr>
              <w:pStyle w:val="TableText"/>
              <w:rPr>
                <w:rtl/>
              </w:rPr>
            </w:pPr>
            <w:r w:rsidRPr="00BF3BAF">
              <w:rPr>
                <w:rFonts w:hint="cs"/>
                <w:sz w:val="26"/>
                <w:rtl/>
              </w:rPr>
              <w:t>3.</w:t>
            </w:r>
          </w:p>
        </w:tc>
        <w:tc>
          <w:tcPr>
            <w:tcW w:w="7143" w:type="dxa"/>
            <w:gridSpan w:val="6"/>
          </w:tcPr>
          <w:p w14:paraId="26AAC8C4" w14:textId="77777777" w:rsidR="00AD19BE" w:rsidRPr="00BF3BAF" w:rsidRDefault="00AD19BE" w:rsidP="00BD4E04">
            <w:pPr>
              <w:pStyle w:val="TableBlock"/>
              <w:rPr>
                <w:sz w:val="26"/>
                <w:rtl/>
              </w:rPr>
            </w:pPr>
            <w:r w:rsidRPr="00BF3BAF">
              <w:rPr>
                <w:rFonts w:hint="cs"/>
                <w:sz w:val="26"/>
                <w:rtl/>
              </w:rPr>
              <w:t xml:space="preserve">בסעיף 5 לחוק העיקרי, </w:t>
            </w:r>
            <w:r>
              <w:rPr>
                <w:rFonts w:hint="cs"/>
                <w:sz w:val="26"/>
                <w:rtl/>
              </w:rPr>
              <w:t xml:space="preserve">בסופו יבוא </w:t>
            </w:r>
            <w:r w:rsidRPr="00BF3BAF">
              <w:rPr>
                <w:rFonts w:hint="cs"/>
                <w:i/>
                <w:sz w:val="26"/>
                <w:rtl/>
              </w:rPr>
              <w:t>"</w:t>
            </w:r>
            <w:r>
              <w:rPr>
                <w:rFonts w:ascii="David" w:hAnsi="David" w:hint="cs"/>
                <w:i/>
                <w:sz w:val="26"/>
                <w:rtl/>
              </w:rPr>
              <w:t xml:space="preserve">; היה הנפגע קטין, דינו </w:t>
            </w:r>
            <w:r>
              <w:rPr>
                <w:rFonts w:ascii="David" w:hAnsi="David"/>
                <w:i/>
                <w:sz w:val="26"/>
                <w:rtl/>
              </w:rPr>
              <w:t>–</w:t>
            </w:r>
            <w:r>
              <w:rPr>
                <w:rFonts w:ascii="David" w:hAnsi="David" w:hint="cs"/>
                <w:i/>
                <w:sz w:val="26"/>
                <w:rtl/>
              </w:rPr>
              <w:t xml:space="preserve"> מאסר 7 שנים</w:t>
            </w:r>
            <w:r w:rsidRPr="00BF3BAF">
              <w:rPr>
                <w:rFonts w:ascii="David" w:hAnsi="David" w:hint="cs"/>
                <w:i/>
                <w:sz w:val="26"/>
                <w:rtl/>
              </w:rPr>
              <w:t>"</w:t>
            </w:r>
            <w:r>
              <w:rPr>
                <w:rFonts w:hint="cs"/>
                <w:sz w:val="26"/>
                <w:rtl/>
              </w:rPr>
              <w:t>.</w:t>
            </w:r>
          </w:p>
        </w:tc>
      </w:tr>
      <w:tr w:rsidR="00AD19BE" w14:paraId="74F7D679" w14:textId="77777777" w:rsidTr="00BD4E04">
        <w:trPr>
          <w:cantSplit/>
        </w:trPr>
        <w:tc>
          <w:tcPr>
            <w:tcW w:w="1869" w:type="dxa"/>
          </w:tcPr>
          <w:p w14:paraId="6289CEFE" w14:textId="77777777" w:rsidR="00AD19BE" w:rsidRPr="00BF3BAF" w:rsidRDefault="00AD19BE" w:rsidP="00BD4E04">
            <w:pPr>
              <w:pStyle w:val="TableSideHeading"/>
              <w:ind w:right="0"/>
              <w:rPr>
                <w:sz w:val="26"/>
                <w:rtl/>
              </w:rPr>
            </w:pPr>
            <w:r>
              <w:rPr>
                <w:rFonts w:hint="cs"/>
                <w:sz w:val="26"/>
                <w:rtl/>
              </w:rPr>
              <w:t>הוספת סעיפים 11א ו-11ב</w:t>
            </w:r>
          </w:p>
        </w:tc>
        <w:tc>
          <w:tcPr>
            <w:tcW w:w="624" w:type="dxa"/>
          </w:tcPr>
          <w:p w14:paraId="5BD6D0D2" w14:textId="77777777" w:rsidR="00AD19BE" w:rsidRPr="00BF3BAF" w:rsidRDefault="00AD19BE" w:rsidP="00BD4E04">
            <w:pPr>
              <w:pStyle w:val="TableText"/>
              <w:rPr>
                <w:sz w:val="26"/>
                <w:rtl/>
              </w:rPr>
            </w:pPr>
            <w:r w:rsidRPr="00BF3BAF">
              <w:rPr>
                <w:rFonts w:hint="cs"/>
                <w:sz w:val="26"/>
                <w:rtl/>
              </w:rPr>
              <w:t xml:space="preserve">4. </w:t>
            </w:r>
          </w:p>
        </w:tc>
        <w:tc>
          <w:tcPr>
            <w:tcW w:w="7143" w:type="dxa"/>
            <w:gridSpan w:val="6"/>
          </w:tcPr>
          <w:p w14:paraId="5B15F8D4" w14:textId="77777777" w:rsidR="00AD19BE" w:rsidRPr="00BF3BAF" w:rsidRDefault="00AD19BE" w:rsidP="00BD4E04">
            <w:pPr>
              <w:pStyle w:val="TableBlock"/>
              <w:rPr>
                <w:rFonts w:ascii="David" w:hAnsi="David"/>
                <w:i/>
                <w:sz w:val="26"/>
                <w:rtl/>
              </w:rPr>
            </w:pPr>
            <w:r w:rsidRPr="00BF3BAF">
              <w:rPr>
                <w:rFonts w:ascii="David" w:hAnsi="David" w:hint="cs"/>
                <w:i/>
                <w:sz w:val="26"/>
                <w:rtl/>
              </w:rPr>
              <w:t>אחרי סעיף 11 לחוק העיקרי, יבוא:</w:t>
            </w:r>
          </w:p>
        </w:tc>
      </w:tr>
      <w:tr w:rsidR="00AD19BE" w14:paraId="449194D0" w14:textId="77777777" w:rsidTr="00BD4E04">
        <w:trPr>
          <w:cantSplit/>
        </w:trPr>
        <w:tc>
          <w:tcPr>
            <w:tcW w:w="1869" w:type="dxa"/>
          </w:tcPr>
          <w:p w14:paraId="62EBCAA7" w14:textId="77777777" w:rsidR="00AD19BE" w:rsidRDefault="00AD19BE" w:rsidP="00BD4E04">
            <w:pPr>
              <w:pStyle w:val="TableSideHeading"/>
              <w:keepLines w:val="0"/>
            </w:pPr>
          </w:p>
        </w:tc>
        <w:tc>
          <w:tcPr>
            <w:tcW w:w="624" w:type="dxa"/>
          </w:tcPr>
          <w:p w14:paraId="0ACA5BB0" w14:textId="77777777" w:rsidR="00AD19BE" w:rsidRDefault="00AD19BE" w:rsidP="00BD4E04">
            <w:pPr>
              <w:pStyle w:val="TableText"/>
              <w:keepLines w:val="0"/>
            </w:pPr>
          </w:p>
        </w:tc>
        <w:tc>
          <w:tcPr>
            <w:tcW w:w="1872" w:type="dxa"/>
            <w:gridSpan w:val="3"/>
          </w:tcPr>
          <w:p w14:paraId="102C1B73" w14:textId="77777777" w:rsidR="00AD19BE" w:rsidRDefault="00AD19BE" w:rsidP="00BD4E04">
            <w:pPr>
              <w:pStyle w:val="TableInnerSideHeading"/>
            </w:pPr>
            <w:r w:rsidRPr="00BF3BAF">
              <w:rPr>
                <w:rFonts w:hint="cs"/>
                <w:rtl/>
              </w:rPr>
              <w:t>"</w:t>
            </w:r>
            <w:r>
              <w:rPr>
                <w:rFonts w:hint="cs"/>
                <w:rtl/>
              </w:rPr>
              <w:t>חוב</w:t>
            </w:r>
            <w:r w:rsidRPr="00BF3BAF">
              <w:rPr>
                <w:rFonts w:hint="cs"/>
                <w:rtl/>
              </w:rPr>
              <w:t xml:space="preserve">ת מבקש מידע </w:t>
            </w:r>
            <w:r>
              <w:rPr>
                <w:rFonts w:hint="cs"/>
                <w:rtl/>
              </w:rPr>
              <w:t>אודות</w:t>
            </w:r>
            <w:r w:rsidRPr="00BF3BAF">
              <w:rPr>
                <w:rFonts w:hint="cs"/>
                <w:rtl/>
              </w:rPr>
              <w:t xml:space="preserve"> קטין</w:t>
            </w:r>
          </w:p>
        </w:tc>
        <w:tc>
          <w:tcPr>
            <w:tcW w:w="624" w:type="dxa"/>
          </w:tcPr>
          <w:p w14:paraId="0725BA36" w14:textId="30E4B356" w:rsidR="00AD19BE" w:rsidRDefault="00AD19BE" w:rsidP="00BD4E04">
            <w:pPr>
              <w:pStyle w:val="TableText"/>
            </w:pPr>
            <w:r w:rsidRPr="00BF3BAF">
              <w:rPr>
                <w:rFonts w:hint="cs"/>
                <w:rtl/>
              </w:rPr>
              <w:t>11א</w:t>
            </w:r>
            <w:r>
              <w:rPr>
                <w:rFonts w:hint="cs"/>
                <w:rtl/>
              </w:rPr>
              <w:t>.</w:t>
            </w:r>
          </w:p>
        </w:tc>
        <w:tc>
          <w:tcPr>
            <w:tcW w:w="4647" w:type="dxa"/>
            <w:gridSpan w:val="2"/>
          </w:tcPr>
          <w:p w14:paraId="4D655C45" w14:textId="77777777" w:rsidR="00AD19BE" w:rsidRDefault="00AD19BE" w:rsidP="00BD4E04">
            <w:pPr>
              <w:pStyle w:val="TableBlock"/>
            </w:pPr>
            <w:r>
              <w:rPr>
                <w:rFonts w:hint="cs"/>
                <w:rtl/>
              </w:rPr>
              <w:t>(א)</w:t>
            </w:r>
            <w:r>
              <w:rPr>
                <w:rtl/>
              </w:rPr>
              <w:tab/>
            </w:r>
            <w:r w:rsidRPr="00527BB3">
              <w:rPr>
                <w:rtl/>
              </w:rPr>
              <w:t xml:space="preserve">פניה לאדם לקבלת מידע </w:t>
            </w:r>
            <w:r>
              <w:rPr>
                <w:rFonts w:hint="cs"/>
                <w:rtl/>
              </w:rPr>
              <w:t xml:space="preserve">אודות קטין </w:t>
            </w:r>
            <w:r>
              <w:rPr>
                <w:rtl/>
              </w:rPr>
              <w:t>לשם החזקת</w:t>
            </w:r>
            <w:r>
              <w:rPr>
                <w:rFonts w:hint="cs"/>
                <w:rtl/>
              </w:rPr>
              <w:t xml:space="preserve"> המידע</w:t>
            </w:r>
            <w:r w:rsidRPr="00527BB3">
              <w:rPr>
                <w:rtl/>
              </w:rPr>
              <w:t xml:space="preserve"> או שימוש בו במאגר מידע </w:t>
            </w:r>
            <w:r>
              <w:rPr>
                <w:rFonts w:hint="cs"/>
                <w:rtl/>
              </w:rPr>
              <w:t xml:space="preserve">תיעשה בתנאים שלהלן: </w:t>
            </w:r>
          </w:p>
        </w:tc>
      </w:tr>
      <w:tr w:rsidR="00AD19BE" w14:paraId="119F6E9E" w14:textId="77777777" w:rsidTr="00BD4E04">
        <w:trPr>
          <w:cantSplit/>
        </w:trPr>
        <w:tc>
          <w:tcPr>
            <w:tcW w:w="1869" w:type="dxa"/>
          </w:tcPr>
          <w:p w14:paraId="2006CFEC" w14:textId="77777777" w:rsidR="00AD19BE" w:rsidRDefault="00AD19BE" w:rsidP="00BD4E04">
            <w:pPr>
              <w:pStyle w:val="TableSideHeading"/>
            </w:pPr>
          </w:p>
        </w:tc>
        <w:tc>
          <w:tcPr>
            <w:tcW w:w="624" w:type="dxa"/>
          </w:tcPr>
          <w:p w14:paraId="40635AD7" w14:textId="77777777" w:rsidR="00AD19BE" w:rsidRDefault="00AD19BE" w:rsidP="00BD4E04">
            <w:pPr>
              <w:pStyle w:val="TableText"/>
            </w:pPr>
          </w:p>
        </w:tc>
        <w:tc>
          <w:tcPr>
            <w:tcW w:w="624" w:type="dxa"/>
          </w:tcPr>
          <w:p w14:paraId="3EA0B63C" w14:textId="77777777" w:rsidR="00AD19BE" w:rsidRDefault="00AD19BE" w:rsidP="00BD4E04">
            <w:pPr>
              <w:pStyle w:val="TableText"/>
            </w:pPr>
          </w:p>
        </w:tc>
        <w:tc>
          <w:tcPr>
            <w:tcW w:w="624" w:type="dxa"/>
          </w:tcPr>
          <w:p w14:paraId="367BE441" w14:textId="77777777" w:rsidR="00AD19BE" w:rsidRDefault="00AD19BE" w:rsidP="00BD4E04">
            <w:pPr>
              <w:pStyle w:val="TableText"/>
            </w:pPr>
          </w:p>
        </w:tc>
        <w:tc>
          <w:tcPr>
            <w:tcW w:w="624" w:type="dxa"/>
          </w:tcPr>
          <w:p w14:paraId="49F05DE4" w14:textId="77777777" w:rsidR="00AD19BE" w:rsidRDefault="00AD19BE" w:rsidP="00BD4E04">
            <w:pPr>
              <w:pStyle w:val="TableText"/>
            </w:pPr>
          </w:p>
        </w:tc>
        <w:tc>
          <w:tcPr>
            <w:tcW w:w="624" w:type="dxa"/>
          </w:tcPr>
          <w:p w14:paraId="254ECA39" w14:textId="77777777" w:rsidR="00AD19BE" w:rsidRDefault="00AD19BE" w:rsidP="00BD4E04">
            <w:pPr>
              <w:pStyle w:val="TableText"/>
            </w:pPr>
          </w:p>
        </w:tc>
        <w:tc>
          <w:tcPr>
            <w:tcW w:w="624" w:type="dxa"/>
          </w:tcPr>
          <w:p w14:paraId="5AB0B0BE" w14:textId="2923B94E" w:rsidR="00AD19BE" w:rsidRDefault="00AD19BE" w:rsidP="00BD4E04">
            <w:pPr>
              <w:pStyle w:val="TableText"/>
            </w:pPr>
          </w:p>
        </w:tc>
        <w:tc>
          <w:tcPr>
            <w:tcW w:w="4023" w:type="dxa"/>
          </w:tcPr>
          <w:p w14:paraId="4779402A" w14:textId="61925EBB" w:rsidR="00AD19BE" w:rsidRDefault="00F956D0" w:rsidP="00BD4E04">
            <w:pPr>
              <w:pStyle w:val="TableBlock"/>
            </w:pPr>
            <w:r>
              <w:rPr>
                <w:rFonts w:hint="cs"/>
                <w:rtl/>
              </w:rPr>
              <w:t>(1)</w:t>
            </w:r>
            <w:r>
              <w:rPr>
                <w:rtl/>
              </w:rPr>
              <w:tab/>
            </w:r>
            <w:r w:rsidR="00AD19BE">
              <w:rPr>
                <w:rFonts w:hint="cs"/>
                <w:rtl/>
              </w:rPr>
              <w:t xml:space="preserve">הפניה </w:t>
            </w:r>
            <w:r w:rsidR="00AD19BE" w:rsidRPr="00AD0A80">
              <w:rPr>
                <w:rtl/>
              </w:rPr>
              <w:t xml:space="preserve">תלווה </w:t>
            </w:r>
            <w:r w:rsidR="00AD19BE">
              <w:rPr>
                <w:rFonts w:hint="cs"/>
                <w:rtl/>
              </w:rPr>
              <w:t>בהודעה ובה יפרט המבקש את</w:t>
            </w:r>
            <w:r w:rsidR="00AD19BE" w:rsidRPr="00AD0A80">
              <w:rPr>
                <w:rtl/>
              </w:rPr>
              <w:t xml:space="preserve"> </w:t>
            </w:r>
            <w:r w:rsidR="00AD19BE">
              <w:rPr>
                <w:rFonts w:hint="cs"/>
                <w:rtl/>
              </w:rPr>
              <w:t>הפעולות הננקטות על ידו לשם הגנה על הפרטיות במאגר המידע;</w:t>
            </w:r>
          </w:p>
        </w:tc>
      </w:tr>
      <w:tr w:rsidR="00AD19BE" w14:paraId="41D5DD92" w14:textId="77777777" w:rsidTr="00BD4E04">
        <w:trPr>
          <w:cantSplit/>
        </w:trPr>
        <w:tc>
          <w:tcPr>
            <w:tcW w:w="1869" w:type="dxa"/>
          </w:tcPr>
          <w:p w14:paraId="2C635155" w14:textId="77777777" w:rsidR="00AD19BE" w:rsidRDefault="00AD19BE" w:rsidP="00BD4E04">
            <w:pPr>
              <w:pStyle w:val="TableSideHeading"/>
            </w:pPr>
          </w:p>
        </w:tc>
        <w:tc>
          <w:tcPr>
            <w:tcW w:w="624" w:type="dxa"/>
          </w:tcPr>
          <w:p w14:paraId="7933EA9D" w14:textId="77777777" w:rsidR="00AD19BE" w:rsidRDefault="00AD19BE" w:rsidP="00BD4E04">
            <w:pPr>
              <w:pStyle w:val="TableText"/>
            </w:pPr>
          </w:p>
        </w:tc>
        <w:tc>
          <w:tcPr>
            <w:tcW w:w="624" w:type="dxa"/>
          </w:tcPr>
          <w:p w14:paraId="57BC86D7" w14:textId="77777777" w:rsidR="00AD19BE" w:rsidRDefault="00AD19BE" w:rsidP="00BD4E04">
            <w:pPr>
              <w:pStyle w:val="TableText"/>
            </w:pPr>
          </w:p>
        </w:tc>
        <w:tc>
          <w:tcPr>
            <w:tcW w:w="624" w:type="dxa"/>
          </w:tcPr>
          <w:p w14:paraId="768DBF0B" w14:textId="77777777" w:rsidR="00AD19BE" w:rsidRDefault="00AD19BE" w:rsidP="00BD4E04">
            <w:pPr>
              <w:pStyle w:val="TableText"/>
            </w:pPr>
          </w:p>
        </w:tc>
        <w:tc>
          <w:tcPr>
            <w:tcW w:w="624" w:type="dxa"/>
          </w:tcPr>
          <w:p w14:paraId="36E6FA24" w14:textId="77777777" w:rsidR="00AD19BE" w:rsidRDefault="00AD19BE" w:rsidP="00BD4E04">
            <w:pPr>
              <w:pStyle w:val="TableText"/>
            </w:pPr>
          </w:p>
        </w:tc>
        <w:tc>
          <w:tcPr>
            <w:tcW w:w="624" w:type="dxa"/>
          </w:tcPr>
          <w:p w14:paraId="5616F558" w14:textId="77777777" w:rsidR="00AD19BE" w:rsidRDefault="00AD19BE" w:rsidP="00BD4E04">
            <w:pPr>
              <w:pStyle w:val="TableText"/>
            </w:pPr>
          </w:p>
        </w:tc>
        <w:tc>
          <w:tcPr>
            <w:tcW w:w="624" w:type="dxa"/>
          </w:tcPr>
          <w:p w14:paraId="49CF08A2" w14:textId="4BC506C2" w:rsidR="00AD19BE" w:rsidRDefault="00AD19BE" w:rsidP="00BD4E04">
            <w:pPr>
              <w:pStyle w:val="TableText"/>
              <w:rPr>
                <w:rtl/>
              </w:rPr>
            </w:pPr>
          </w:p>
        </w:tc>
        <w:tc>
          <w:tcPr>
            <w:tcW w:w="4023" w:type="dxa"/>
          </w:tcPr>
          <w:p w14:paraId="268B1CA0" w14:textId="74A19494" w:rsidR="00AD19BE" w:rsidRPr="0073249A" w:rsidRDefault="00F956D0" w:rsidP="00BD4E04">
            <w:pPr>
              <w:pStyle w:val="TableBlock"/>
              <w:rPr>
                <w:rtl/>
              </w:rPr>
            </w:pPr>
            <w:r>
              <w:rPr>
                <w:rFonts w:hint="cs"/>
                <w:rtl/>
              </w:rPr>
              <w:t>(2)</w:t>
            </w:r>
            <w:r>
              <w:rPr>
                <w:rtl/>
              </w:rPr>
              <w:tab/>
            </w:r>
            <w:r w:rsidR="00AD19BE" w:rsidRPr="0073249A">
              <w:rPr>
                <w:rFonts w:hint="cs"/>
                <w:rtl/>
              </w:rPr>
              <w:t>הפניה תלווה בהודעה בה יצוינו הפרטים האמורים בסעיף 11</w:t>
            </w:r>
            <w:r w:rsidR="00AD19BE">
              <w:rPr>
                <w:rFonts w:hint="cs"/>
                <w:rtl/>
              </w:rPr>
              <w:t>, ובנוסף, יצוינו</w:t>
            </w:r>
            <w:r w:rsidR="00AD19BE" w:rsidRPr="0073249A">
              <w:rPr>
                <w:rFonts w:hint="cs"/>
                <w:rtl/>
              </w:rPr>
              <w:t xml:space="preserve"> ההשלכות הנובעות ממתן ההסכמה וכן אזהרה כי מתן ההסכמה עשוי להביא לפגיעה בפרטיותו של קטין; האזהרה תצוין באופן מודגש;</w:t>
            </w:r>
          </w:p>
        </w:tc>
      </w:tr>
      <w:tr w:rsidR="00AD19BE" w14:paraId="105C5A12" w14:textId="77777777" w:rsidTr="00BD4E04">
        <w:trPr>
          <w:cantSplit/>
        </w:trPr>
        <w:tc>
          <w:tcPr>
            <w:tcW w:w="1869" w:type="dxa"/>
          </w:tcPr>
          <w:p w14:paraId="44A213C3" w14:textId="77777777" w:rsidR="00AD19BE" w:rsidRDefault="00AD19BE" w:rsidP="00BD4E04">
            <w:pPr>
              <w:pStyle w:val="TableSideHeading"/>
            </w:pPr>
          </w:p>
        </w:tc>
        <w:tc>
          <w:tcPr>
            <w:tcW w:w="624" w:type="dxa"/>
          </w:tcPr>
          <w:p w14:paraId="18DD04FF" w14:textId="77777777" w:rsidR="00AD19BE" w:rsidRDefault="00AD19BE" w:rsidP="00BD4E04">
            <w:pPr>
              <w:pStyle w:val="TableText"/>
            </w:pPr>
          </w:p>
        </w:tc>
        <w:tc>
          <w:tcPr>
            <w:tcW w:w="624" w:type="dxa"/>
          </w:tcPr>
          <w:p w14:paraId="7215665A" w14:textId="77777777" w:rsidR="00AD19BE" w:rsidRDefault="00AD19BE" w:rsidP="00BD4E04">
            <w:pPr>
              <w:pStyle w:val="TableText"/>
            </w:pPr>
          </w:p>
        </w:tc>
        <w:tc>
          <w:tcPr>
            <w:tcW w:w="624" w:type="dxa"/>
          </w:tcPr>
          <w:p w14:paraId="3A0481FB" w14:textId="77777777" w:rsidR="00AD19BE" w:rsidRDefault="00AD19BE" w:rsidP="00BD4E04">
            <w:pPr>
              <w:pStyle w:val="TableText"/>
            </w:pPr>
          </w:p>
        </w:tc>
        <w:tc>
          <w:tcPr>
            <w:tcW w:w="624" w:type="dxa"/>
          </w:tcPr>
          <w:p w14:paraId="59FB5A9D" w14:textId="77777777" w:rsidR="00AD19BE" w:rsidRDefault="00AD19BE" w:rsidP="00BD4E04">
            <w:pPr>
              <w:pStyle w:val="TableText"/>
            </w:pPr>
          </w:p>
        </w:tc>
        <w:tc>
          <w:tcPr>
            <w:tcW w:w="624" w:type="dxa"/>
          </w:tcPr>
          <w:p w14:paraId="1AD03079" w14:textId="77777777" w:rsidR="00AD19BE" w:rsidRDefault="00AD19BE" w:rsidP="00BD4E04">
            <w:pPr>
              <w:pStyle w:val="TableText"/>
            </w:pPr>
          </w:p>
        </w:tc>
        <w:tc>
          <w:tcPr>
            <w:tcW w:w="624" w:type="dxa"/>
          </w:tcPr>
          <w:p w14:paraId="3FE059F7" w14:textId="017A4C71" w:rsidR="00AD19BE" w:rsidRDefault="00AD19BE" w:rsidP="00BD4E04">
            <w:pPr>
              <w:pStyle w:val="TableText"/>
              <w:rPr>
                <w:rtl/>
              </w:rPr>
            </w:pPr>
          </w:p>
        </w:tc>
        <w:tc>
          <w:tcPr>
            <w:tcW w:w="4023" w:type="dxa"/>
          </w:tcPr>
          <w:p w14:paraId="1CE82190" w14:textId="3C9A85F4" w:rsidR="00AD19BE" w:rsidRPr="0073249A" w:rsidRDefault="00F956D0" w:rsidP="00BD4E04">
            <w:pPr>
              <w:pStyle w:val="TableBlock"/>
              <w:rPr>
                <w:rtl/>
              </w:rPr>
            </w:pPr>
            <w:r>
              <w:rPr>
                <w:rFonts w:hint="cs"/>
                <w:rtl/>
              </w:rPr>
              <w:t>(3)</w:t>
            </w:r>
            <w:r>
              <w:rPr>
                <w:rtl/>
              </w:rPr>
              <w:tab/>
            </w:r>
            <w:r w:rsidR="00AD19BE" w:rsidRPr="0073249A">
              <w:rPr>
                <w:rFonts w:hint="cs"/>
                <w:rtl/>
              </w:rPr>
              <w:t xml:space="preserve">ההודעה </w:t>
            </w:r>
            <w:r w:rsidR="00AD19BE">
              <w:rPr>
                <w:rFonts w:hint="cs"/>
                <w:rtl/>
              </w:rPr>
              <w:t>לפי סעיף זה</w:t>
            </w:r>
            <w:r w:rsidR="00AD19BE" w:rsidRPr="0073249A">
              <w:rPr>
                <w:rFonts w:hint="cs"/>
                <w:rtl/>
              </w:rPr>
              <w:t xml:space="preserve"> תנוסח באופן ברור ותמציתי; היתה בקשת המידע מופנית לקטין, תותאם ההודעה לגיל הקטין, לרבות התאמה באמצעות שימוש בציורים והמחשות;</w:t>
            </w:r>
          </w:p>
        </w:tc>
      </w:tr>
      <w:tr w:rsidR="00AD19BE" w14:paraId="4208B253" w14:textId="77777777" w:rsidTr="00BD4E04">
        <w:trPr>
          <w:cantSplit/>
        </w:trPr>
        <w:tc>
          <w:tcPr>
            <w:tcW w:w="1869" w:type="dxa"/>
          </w:tcPr>
          <w:p w14:paraId="41F82654" w14:textId="77777777" w:rsidR="00AD19BE" w:rsidRDefault="00AD19BE" w:rsidP="00BD4E04">
            <w:pPr>
              <w:pStyle w:val="TableSideHeading"/>
            </w:pPr>
          </w:p>
        </w:tc>
        <w:tc>
          <w:tcPr>
            <w:tcW w:w="624" w:type="dxa"/>
          </w:tcPr>
          <w:p w14:paraId="67E32A6C" w14:textId="77777777" w:rsidR="00AD19BE" w:rsidRDefault="00AD19BE" w:rsidP="00BD4E04">
            <w:pPr>
              <w:pStyle w:val="TableText"/>
            </w:pPr>
          </w:p>
        </w:tc>
        <w:tc>
          <w:tcPr>
            <w:tcW w:w="624" w:type="dxa"/>
          </w:tcPr>
          <w:p w14:paraId="10DF5D22" w14:textId="77777777" w:rsidR="00AD19BE" w:rsidRDefault="00AD19BE" w:rsidP="00BD4E04">
            <w:pPr>
              <w:pStyle w:val="TableText"/>
            </w:pPr>
          </w:p>
        </w:tc>
        <w:tc>
          <w:tcPr>
            <w:tcW w:w="624" w:type="dxa"/>
          </w:tcPr>
          <w:p w14:paraId="6404AA68" w14:textId="77777777" w:rsidR="00AD19BE" w:rsidRDefault="00AD19BE" w:rsidP="00BD4E04">
            <w:pPr>
              <w:pStyle w:val="TableText"/>
            </w:pPr>
          </w:p>
        </w:tc>
        <w:tc>
          <w:tcPr>
            <w:tcW w:w="624" w:type="dxa"/>
          </w:tcPr>
          <w:p w14:paraId="220A3572" w14:textId="77777777" w:rsidR="00AD19BE" w:rsidRDefault="00AD19BE" w:rsidP="00BD4E04">
            <w:pPr>
              <w:pStyle w:val="TableText"/>
            </w:pPr>
          </w:p>
        </w:tc>
        <w:tc>
          <w:tcPr>
            <w:tcW w:w="624" w:type="dxa"/>
          </w:tcPr>
          <w:p w14:paraId="7CB10BD6" w14:textId="77777777" w:rsidR="00AD19BE" w:rsidRDefault="00AD19BE" w:rsidP="00BD4E04">
            <w:pPr>
              <w:pStyle w:val="TableText"/>
            </w:pPr>
          </w:p>
        </w:tc>
        <w:tc>
          <w:tcPr>
            <w:tcW w:w="624" w:type="dxa"/>
          </w:tcPr>
          <w:p w14:paraId="2F1FFE24" w14:textId="1C5DFB5E" w:rsidR="00AD19BE" w:rsidRDefault="00AD19BE" w:rsidP="00BD4E04">
            <w:pPr>
              <w:pStyle w:val="TableText"/>
              <w:rPr>
                <w:rtl/>
              </w:rPr>
            </w:pPr>
          </w:p>
        </w:tc>
        <w:tc>
          <w:tcPr>
            <w:tcW w:w="4023" w:type="dxa"/>
          </w:tcPr>
          <w:p w14:paraId="7965660B" w14:textId="7C849C9A" w:rsidR="00AD19BE" w:rsidRPr="0073249A" w:rsidRDefault="00F956D0" w:rsidP="00BD4E04">
            <w:pPr>
              <w:pStyle w:val="TableBlock"/>
              <w:rPr>
                <w:rtl/>
              </w:rPr>
            </w:pPr>
            <w:r>
              <w:rPr>
                <w:rFonts w:hint="cs"/>
                <w:rtl/>
              </w:rPr>
              <w:t>(4)</w:t>
            </w:r>
            <w:r>
              <w:rPr>
                <w:rtl/>
              </w:rPr>
              <w:tab/>
            </w:r>
            <w:r w:rsidR="00AD19BE">
              <w:rPr>
                <w:rFonts w:hint="cs"/>
                <w:rtl/>
              </w:rPr>
              <w:t xml:space="preserve">היה המידע עתיד להימסר לגורם שלישי, תלווה הפניה בהודעה נוספת ונפרדת בה יובהר שהמידע יימסר לגורמים שלישיים, </w:t>
            </w:r>
            <w:r w:rsidR="00AD19BE" w:rsidRPr="00BF3BAF">
              <w:rPr>
                <w:rFonts w:hint="cs"/>
                <w:i/>
                <w:sz w:val="26"/>
                <w:rtl/>
              </w:rPr>
              <w:t xml:space="preserve">יפורטו הגורמים אליהם המידע </w:t>
            </w:r>
            <w:r w:rsidR="00AD19BE">
              <w:rPr>
                <w:rFonts w:hint="cs"/>
                <w:i/>
                <w:sz w:val="26"/>
                <w:rtl/>
              </w:rPr>
              <w:t>יימסר ו</w:t>
            </w:r>
            <w:r w:rsidR="00AD19BE" w:rsidRPr="00BF3BAF">
              <w:rPr>
                <w:rFonts w:hint="cs"/>
                <w:i/>
                <w:sz w:val="26"/>
                <w:rtl/>
              </w:rPr>
              <w:t>מטר</w:t>
            </w:r>
            <w:r w:rsidR="00AD19BE">
              <w:rPr>
                <w:rFonts w:hint="cs"/>
                <w:i/>
                <w:sz w:val="26"/>
                <w:rtl/>
              </w:rPr>
              <w:t>ת המסירה.</w:t>
            </w:r>
          </w:p>
        </w:tc>
      </w:tr>
      <w:tr w:rsidR="00AD19BE" w14:paraId="55570979" w14:textId="77777777" w:rsidTr="00BD4E04">
        <w:trPr>
          <w:cantSplit/>
        </w:trPr>
        <w:tc>
          <w:tcPr>
            <w:tcW w:w="1869" w:type="dxa"/>
          </w:tcPr>
          <w:p w14:paraId="62ADFD95" w14:textId="77777777" w:rsidR="00AD19BE" w:rsidRDefault="00AD19BE" w:rsidP="00BD4E04">
            <w:pPr>
              <w:pStyle w:val="TableSideHeading"/>
              <w:rPr>
                <w:rtl/>
              </w:rPr>
            </w:pPr>
          </w:p>
        </w:tc>
        <w:tc>
          <w:tcPr>
            <w:tcW w:w="624" w:type="dxa"/>
          </w:tcPr>
          <w:p w14:paraId="47E61864" w14:textId="77777777" w:rsidR="00AD19BE" w:rsidRDefault="00AD19BE" w:rsidP="00BD4E04">
            <w:pPr>
              <w:pStyle w:val="TableText"/>
            </w:pPr>
          </w:p>
        </w:tc>
        <w:tc>
          <w:tcPr>
            <w:tcW w:w="624" w:type="dxa"/>
          </w:tcPr>
          <w:p w14:paraId="6142974F" w14:textId="77777777" w:rsidR="00AD19BE" w:rsidRDefault="00AD19BE" w:rsidP="00BD4E04">
            <w:pPr>
              <w:pStyle w:val="TableText"/>
            </w:pPr>
          </w:p>
        </w:tc>
        <w:tc>
          <w:tcPr>
            <w:tcW w:w="624" w:type="dxa"/>
          </w:tcPr>
          <w:p w14:paraId="52B38984" w14:textId="77777777" w:rsidR="00AD19BE" w:rsidRDefault="00AD19BE" w:rsidP="00BD4E04">
            <w:pPr>
              <w:pStyle w:val="TableText"/>
            </w:pPr>
          </w:p>
        </w:tc>
        <w:tc>
          <w:tcPr>
            <w:tcW w:w="624" w:type="dxa"/>
          </w:tcPr>
          <w:p w14:paraId="4CAF624C" w14:textId="77777777" w:rsidR="00AD19BE" w:rsidRDefault="00AD19BE" w:rsidP="00BD4E04">
            <w:pPr>
              <w:pStyle w:val="TableText"/>
            </w:pPr>
          </w:p>
        </w:tc>
        <w:tc>
          <w:tcPr>
            <w:tcW w:w="624" w:type="dxa"/>
          </w:tcPr>
          <w:p w14:paraId="7F5AD32D" w14:textId="77777777" w:rsidR="00AD19BE" w:rsidRDefault="00AD19BE" w:rsidP="00BD4E04">
            <w:pPr>
              <w:pStyle w:val="TableText"/>
            </w:pPr>
          </w:p>
        </w:tc>
        <w:tc>
          <w:tcPr>
            <w:tcW w:w="4647" w:type="dxa"/>
            <w:gridSpan w:val="2"/>
          </w:tcPr>
          <w:p w14:paraId="5A644FD2" w14:textId="77777777" w:rsidR="00AD19BE" w:rsidRDefault="00AD19BE" w:rsidP="00BD4E04">
            <w:pPr>
              <w:pStyle w:val="TableBlock"/>
              <w:rPr>
                <w:rtl/>
              </w:rPr>
            </w:pPr>
            <w:r>
              <w:rPr>
                <w:rFonts w:hint="cs"/>
                <w:i/>
                <w:sz w:val="26"/>
                <w:rtl/>
              </w:rPr>
              <w:t>(ב)</w:t>
            </w:r>
            <w:r>
              <w:rPr>
                <w:i/>
                <w:sz w:val="26"/>
                <w:rtl/>
              </w:rPr>
              <w:tab/>
            </w:r>
            <w:r>
              <w:rPr>
                <w:rFonts w:hint="cs"/>
                <w:i/>
                <w:sz w:val="26"/>
                <w:rtl/>
              </w:rPr>
              <w:t xml:space="preserve">על מבקש המידע לנקוט מאמצים סבירים על מנת </w:t>
            </w:r>
            <w:r w:rsidRPr="00BF3BAF">
              <w:rPr>
                <w:rFonts w:ascii="David" w:hAnsi="David" w:hint="cs"/>
                <w:i/>
                <w:sz w:val="26"/>
                <w:rtl/>
              </w:rPr>
              <w:t xml:space="preserve">לוודא </w:t>
            </w:r>
            <w:r>
              <w:rPr>
                <w:rFonts w:ascii="David" w:hAnsi="David" w:hint="cs"/>
                <w:i/>
                <w:sz w:val="26"/>
                <w:rtl/>
              </w:rPr>
              <w:t>שההסכמה לקבלת ה</w:t>
            </w:r>
            <w:r w:rsidRPr="00BF3BAF">
              <w:rPr>
                <w:rFonts w:ascii="David" w:hAnsi="David" w:hint="cs"/>
                <w:i/>
                <w:sz w:val="26"/>
                <w:rtl/>
              </w:rPr>
              <w:t>מידע ניתנה על</w:t>
            </w:r>
            <w:r>
              <w:rPr>
                <w:rFonts w:ascii="David" w:hAnsi="David" w:hint="cs"/>
                <w:i/>
                <w:sz w:val="26"/>
                <w:rtl/>
              </w:rPr>
              <w:t xml:space="preserve"> </w:t>
            </w:r>
            <w:r w:rsidRPr="00BF3BAF">
              <w:rPr>
                <w:rFonts w:ascii="David" w:hAnsi="David" w:hint="cs"/>
                <w:i/>
                <w:sz w:val="26"/>
                <w:rtl/>
              </w:rPr>
              <w:t xml:space="preserve">ידי </w:t>
            </w:r>
            <w:r>
              <w:rPr>
                <w:rFonts w:ascii="David" w:hAnsi="David" w:hint="cs"/>
                <w:i/>
                <w:sz w:val="26"/>
                <w:rtl/>
              </w:rPr>
              <w:t>מי שה</w:t>
            </w:r>
            <w:r w:rsidRPr="00BF3BAF">
              <w:rPr>
                <w:rFonts w:ascii="David" w:hAnsi="David" w:hint="cs"/>
                <w:i/>
                <w:sz w:val="26"/>
                <w:rtl/>
              </w:rPr>
              <w:t xml:space="preserve">וסמך </w:t>
            </w:r>
            <w:r>
              <w:rPr>
                <w:rFonts w:ascii="David" w:hAnsi="David" w:hint="cs"/>
                <w:i/>
                <w:sz w:val="26"/>
                <w:rtl/>
              </w:rPr>
              <w:t xml:space="preserve">לתתה; </w:t>
            </w:r>
            <w:r w:rsidRPr="00BF3BAF">
              <w:rPr>
                <w:rFonts w:ascii="David" w:hAnsi="David" w:hint="cs"/>
                <w:i/>
                <w:sz w:val="26"/>
                <w:rtl/>
              </w:rPr>
              <w:t xml:space="preserve">מידע </w:t>
            </w:r>
            <w:r>
              <w:rPr>
                <w:rFonts w:ascii="David" w:hAnsi="David" w:hint="cs"/>
                <w:i/>
                <w:sz w:val="26"/>
                <w:rtl/>
              </w:rPr>
              <w:t>ש</w:t>
            </w:r>
            <w:r w:rsidRPr="00BF3BAF">
              <w:rPr>
                <w:rFonts w:ascii="David" w:hAnsi="David" w:hint="cs"/>
                <w:i/>
                <w:sz w:val="26"/>
                <w:rtl/>
              </w:rPr>
              <w:t xml:space="preserve">נאסף </w:t>
            </w:r>
            <w:r>
              <w:rPr>
                <w:rFonts w:ascii="David" w:hAnsi="David" w:hint="cs"/>
                <w:i/>
                <w:sz w:val="26"/>
                <w:rtl/>
              </w:rPr>
              <w:t>לצורך וידוא כאמור</w:t>
            </w:r>
            <w:r w:rsidRPr="00BF3BAF">
              <w:rPr>
                <w:rFonts w:ascii="David" w:hAnsi="David" w:hint="cs"/>
                <w:i/>
                <w:sz w:val="26"/>
                <w:rtl/>
              </w:rPr>
              <w:t xml:space="preserve"> </w:t>
            </w:r>
            <w:r>
              <w:rPr>
                <w:rFonts w:ascii="David" w:hAnsi="David" w:hint="cs"/>
                <w:i/>
                <w:sz w:val="26"/>
                <w:rtl/>
              </w:rPr>
              <w:t>ישמש</w:t>
            </w:r>
            <w:r w:rsidRPr="00BF3BAF">
              <w:rPr>
                <w:rFonts w:ascii="David" w:hAnsi="David" w:hint="cs"/>
                <w:i/>
                <w:sz w:val="26"/>
                <w:rtl/>
              </w:rPr>
              <w:t xml:space="preserve"> אך רק לצורך </w:t>
            </w:r>
            <w:r>
              <w:rPr>
                <w:rFonts w:ascii="David" w:hAnsi="David" w:hint="cs"/>
                <w:i/>
                <w:sz w:val="26"/>
                <w:rtl/>
              </w:rPr>
              <w:t>זה.</w:t>
            </w:r>
          </w:p>
        </w:tc>
      </w:tr>
      <w:tr w:rsidR="00AD19BE" w14:paraId="0E55F86F" w14:textId="77777777" w:rsidTr="00BD4E04">
        <w:trPr>
          <w:cantSplit/>
        </w:trPr>
        <w:tc>
          <w:tcPr>
            <w:tcW w:w="1869" w:type="dxa"/>
          </w:tcPr>
          <w:p w14:paraId="07134D2A" w14:textId="77777777" w:rsidR="00AD19BE" w:rsidRPr="00BF3BAF" w:rsidRDefault="00AD19BE" w:rsidP="00BD4E04">
            <w:pPr>
              <w:pStyle w:val="TableSideHeading"/>
              <w:ind w:right="0"/>
              <w:rPr>
                <w:sz w:val="26"/>
              </w:rPr>
            </w:pPr>
          </w:p>
        </w:tc>
        <w:tc>
          <w:tcPr>
            <w:tcW w:w="624" w:type="dxa"/>
          </w:tcPr>
          <w:p w14:paraId="0A83EE72" w14:textId="77777777" w:rsidR="00AD19BE" w:rsidRPr="00BF3BAF" w:rsidRDefault="00AD19BE" w:rsidP="00BD4E04">
            <w:pPr>
              <w:pStyle w:val="TableText"/>
              <w:rPr>
                <w:sz w:val="26"/>
              </w:rPr>
            </w:pPr>
          </w:p>
        </w:tc>
        <w:tc>
          <w:tcPr>
            <w:tcW w:w="1872" w:type="dxa"/>
            <w:gridSpan w:val="3"/>
          </w:tcPr>
          <w:p w14:paraId="025F4902" w14:textId="128A0A50" w:rsidR="00AD19BE" w:rsidRPr="00BF3BAF" w:rsidRDefault="00AD19BE" w:rsidP="00BD4E04">
            <w:pPr>
              <w:pStyle w:val="TableInnerSideHeading"/>
              <w:ind w:right="0"/>
              <w:rPr>
                <w:sz w:val="26"/>
              </w:rPr>
            </w:pPr>
            <w:r w:rsidRPr="00BF3BAF">
              <w:rPr>
                <w:rFonts w:hint="cs"/>
                <w:sz w:val="26"/>
                <w:rtl/>
              </w:rPr>
              <w:t xml:space="preserve">הגבלות בדבר </w:t>
            </w:r>
            <w:r>
              <w:rPr>
                <w:rFonts w:hint="cs"/>
                <w:sz w:val="26"/>
                <w:rtl/>
              </w:rPr>
              <w:t>החזקה</w:t>
            </w:r>
            <w:r w:rsidR="009D7F88">
              <w:rPr>
                <w:rFonts w:hint="cs"/>
                <w:sz w:val="26"/>
                <w:rtl/>
              </w:rPr>
              <w:t xml:space="preserve"> ושימוש במידע אודות קטין</w:t>
            </w:r>
          </w:p>
        </w:tc>
        <w:tc>
          <w:tcPr>
            <w:tcW w:w="624" w:type="dxa"/>
          </w:tcPr>
          <w:p w14:paraId="1C80910B" w14:textId="50C0AE6D" w:rsidR="00AD19BE" w:rsidRPr="00BF3BAF" w:rsidRDefault="00AD19BE" w:rsidP="00BD4E04">
            <w:pPr>
              <w:pStyle w:val="TableText"/>
              <w:rPr>
                <w:sz w:val="26"/>
                <w:rtl/>
              </w:rPr>
            </w:pPr>
            <w:r w:rsidRPr="00BF3BAF">
              <w:rPr>
                <w:rFonts w:hint="cs"/>
                <w:sz w:val="26"/>
                <w:rtl/>
              </w:rPr>
              <w:t>11ב</w:t>
            </w:r>
            <w:r>
              <w:rPr>
                <w:rFonts w:hint="cs"/>
                <w:sz w:val="26"/>
                <w:rtl/>
              </w:rPr>
              <w:t>.</w:t>
            </w:r>
          </w:p>
        </w:tc>
        <w:tc>
          <w:tcPr>
            <w:tcW w:w="4647" w:type="dxa"/>
            <w:gridSpan w:val="2"/>
          </w:tcPr>
          <w:p w14:paraId="0B491923" w14:textId="77777777" w:rsidR="00AD19BE" w:rsidRPr="00BF3BAF" w:rsidRDefault="00AD19BE" w:rsidP="00BD4E04">
            <w:pPr>
              <w:pStyle w:val="TableBlock"/>
              <w:rPr>
                <w:sz w:val="26"/>
              </w:rPr>
            </w:pPr>
            <w:r>
              <w:rPr>
                <w:rFonts w:hint="cs"/>
                <w:i/>
                <w:sz w:val="26"/>
                <w:rtl/>
              </w:rPr>
              <w:t>(א)</w:t>
            </w:r>
            <w:r>
              <w:rPr>
                <w:i/>
                <w:sz w:val="26"/>
                <w:rtl/>
              </w:rPr>
              <w:tab/>
            </w:r>
            <w:r w:rsidRPr="00BF3BAF">
              <w:rPr>
                <w:rFonts w:hint="cs"/>
                <w:i/>
                <w:sz w:val="26"/>
                <w:rtl/>
              </w:rPr>
              <w:t xml:space="preserve">אין </w:t>
            </w:r>
            <w:r>
              <w:rPr>
                <w:rFonts w:hint="cs"/>
                <w:i/>
                <w:sz w:val="26"/>
                <w:rtl/>
              </w:rPr>
              <w:t>להחזיק</w:t>
            </w:r>
            <w:r w:rsidRPr="00BF3BAF">
              <w:rPr>
                <w:rFonts w:hint="cs"/>
                <w:i/>
                <w:sz w:val="26"/>
                <w:rtl/>
              </w:rPr>
              <w:t xml:space="preserve"> מידע</w:t>
            </w:r>
            <w:r>
              <w:rPr>
                <w:rFonts w:hint="cs"/>
                <w:i/>
                <w:sz w:val="26"/>
                <w:rtl/>
              </w:rPr>
              <w:t xml:space="preserve"> אודות קטין ב</w:t>
            </w:r>
            <w:r w:rsidRPr="00BF3BAF">
              <w:rPr>
                <w:rFonts w:hint="cs"/>
                <w:i/>
                <w:sz w:val="26"/>
                <w:rtl/>
              </w:rPr>
              <w:t>מאגר מידע</w:t>
            </w:r>
            <w:r>
              <w:rPr>
                <w:rFonts w:hint="cs"/>
                <w:i/>
                <w:sz w:val="26"/>
                <w:rtl/>
              </w:rPr>
              <w:t xml:space="preserve"> בלא הסמכה מפורשת בחוק,</w:t>
            </w:r>
            <w:r w:rsidRPr="00BF3BAF">
              <w:rPr>
                <w:rFonts w:hint="cs"/>
                <w:i/>
                <w:sz w:val="26"/>
                <w:rtl/>
              </w:rPr>
              <w:t xml:space="preserve"> אלא בהסכמת </w:t>
            </w:r>
            <w:r>
              <w:rPr>
                <w:rFonts w:hint="cs"/>
                <w:i/>
                <w:sz w:val="26"/>
                <w:rtl/>
              </w:rPr>
              <w:t>הורהו</w:t>
            </w:r>
            <w:r w:rsidRPr="00BF3BAF">
              <w:rPr>
                <w:rFonts w:hint="cs"/>
                <w:i/>
                <w:sz w:val="26"/>
                <w:rtl/>
              </w:rPr>
              <w:t xml:space="preserve"> או </w:t>
            </w:r>
            <w:r>
              <w:rPr>
                <w:rFonts w:hint="cs"/>
                <w:i/>
                <w:sz w:val="26"/>
                <w:rtl/>
              </w:rPr>
              <w:t>אפוטרופסו, או כשהמידע אינו מידע רגיש והקטין מעל גיל 13 ונתן את הסכמתו להחזקת המידע;</w:t>
            </w:r>
          </w:p>
        </w:tc>
      </w:tr>
      <w:tr w:rsidR="00AD19BE" w14:paraId="7636A85F" w14:textId="77777777" w:rsidTr="00BD4E04">
        <w:trPr>
          <w:cantSplit/>
        </w:trPr>
        <w:tc>
          <w:tcPr>
            <w:tcW w:w="1869" w:type="dxa"/>
          </w:tcPr>
          <w:p w14:paraId="13286DF4" w14:textId="77777777" w:rsidR="00AD19BE" w:rsidRDefault="00AD19BE" w:rsidP="00BD4E04">
            <w:pPr>
              <w:pStyle w:val="TableSideHeading"/>
              <w:rPr>
                <w:rtl/>
              </w:rPr>
            </w:pPr>
          </w:p>
        </w:tc>
        <w:tc>
          <w:tcPr>
            <w:tcW w:w="624" w:type="dxa"/>
          </w:tcPr>
          <w:p w14:paraId="110EE2E4" w14:textId="77777777" w:rsidR="00AD19BE" w:rsidRDefault="00AD19BE" w:rsidP="00BD4E04">
            <w:pPr>
              <w:pStyle w:val="TableText"/>
            </w:pPr>
          </w:p>
        </w:tc>
        <w:tc>
          <w:tcPr>
            <w:tcW w:w="624" w:type="dxa"/>
          </w:tcPr>
          <w:p w14:paraId="0322EF9E" w14:textId="77777777" w:rsidR="00AD19BE" w:rsidRDefault="00AD19BE" w:rsidP="00BD4E04">
            <w:pPr>
              <w:pStyle w:val="TableText"/>
            </w:pPr>
          </w:p>
        </w:tc>
        <w:tc>
          <w:tcPr>
            <w:tcW w:w="624" w:type="dxa"/>
          </w:tcPr>
          <w:p w14:paraId="6E4F2902" w14:textId="77777777" w:rsidR="00AD19BE" w:rsidRDefault="00AD19BE" w:rsidP="00BD4E04">
            <w:pPr>
              <w:pStyle w:val="TableText"/>
            </w:pPr>
          </w:p>
        </w:tc>
        <w:tc>
          <w:tcPr>
            <w:tcW w:w="624" w:type="dxa"/>
          </w:tcPr>
          <w:p w14:paraId="6DE51CCD" w14:textId="77777777" w:rsidR="00AD19BE" w:rsidRDefault="00AD19BE" w:rsidP="00BD4E04">
            <w:pPr>
              <w:pStyle w:val="TableText"/>
            </w:pPr>
          </w:p>
        </w:tc>
        <w:tc>
          <w:tcPr>
            <w:tcW w:w="624" w:type="dxa"/>
          </w:tcPr>
          <w:p w14:paraId="098EC49C" w14:textId="77777777" w:rsidR="00AD19BE" w:rsidRDefault="00AD19BE" w:rsidP="00BD4E04">
            <w:pPr>
              <w:pStyle w:val="TableText"/>
            </w:pPr>
          </w:p>
        </w:tc>
        <w:tc>
          <w:tcPr>
            <w:tcW w:w="4647" w:type="dxa"/>
            <w:gridSpan w:val="2"/>
          </w:tcPr>
          <w:p w14:paraId="451949F2" w14:textId="77777777" w:rsidR="00AD19BE" w:rsidRDefault="00AD19BE" w:rsidP="00BD4E04">
            <w:pPr>
              <w:pStyle w:val="TableBlock"/>
              <w:rPr>
                <w:rtl/>
              </w:rPr>
            </w:pPr>
            <w:r>
              <w:rPr>
                <w:rFonts w:ascii="David" w:hAnsi="David" w:hint="cs"/>
                <w:i/>
                <w:sz w:val="26"/>
                <w:rtl/>
              </w:rPr>
              <w:t>(ב)</w:t>
            </w:r>
            <w:r>
              <w:rPr>
                <w:rFonts w:ascii="David" w:hAnsi="David"/>
                <w:i/>
                <w:sz w:val="26"/>
                <w:rtl/>
              </w:rPr>
              <w:tab/>
            </w:r>
            <w:r>
              <w:rPr>
                <w:rFonts w:ascii="David" w:hAnsi="David" w:hint="cs"/>
                <w:i/>
                <w:sz w:val="26"/>
                <w:rtl/>
              </w:rPr>
              <w:t xml:space="preserve">אין להחזיק מידע אודות קטין </w:t>
            </w:r>
            <w:r>
              <w:rPr>
                <w:rFonts w:hint="cs"/>
                <w:i/>
                <w:sz w:val="26"/>
                <w:rtl/>
              </w:rPr>
              <w:t>ב</w:t>
            </w:r>
            <w:r w:rsidRPr="00BF3BAF">
              <w:rPr>
                <w:rFonts w:hint="cs"/>
                <w:i/>
                <w:sz w:val="26"/>
                <w:rtl/>
              </w:rPr>
              <w:t>מאגר מידע</w:t>
            </w:r>
            <w:r>
              <w:rPr>
                <w:rFonts w:hint="cs"/>
                <w:i/>
                <w:sz w:val="26"/>
                <w:rtl/>
              </w:rPr>
              <w:t xml:space="preserve"> </w:t>
            </w:r>
            <w:r>
              <w:rPr>
                <w:rFonts w:ascii="David" w:hAnsi="David" w:hint="cs"/>
                <w:i/>
                <w:sz w:val="26"/>
                <w:rtl/>
              </w:rPr>
              <w:t xml:space="preserve">במידה העולה על הנדרש לפי </w:t>
            </w:r>
            <w:r w:rsidRPr="00BF3BAF">
              <w:rPr>
                <w:rFonts w:ascii="David" w:hAnsi="David" w:hint="cs"/>
                <w:i/>
                <w:sz w:val="26"/>
                <w:rtl/>
              </w:rPr>
              <w:t>מטר</w:t>
            </w:r>
            <w:r>
              <w:rPr>
                <w:rFonts w:ascii="David" w:hAnsi="David" w:hint="cs"/>
                <w:i/>
                <w:sz w:val="26"/>
                <w:rtl/>
              </w:rPr>
              <w:t>ת החזקת המידע;</w:t>
            </w:r>
          </w:p>
        </w:tc>
      </w:tr>
      <w:tr w:rsidR="00AD19BE" w14:paraId="756B5AFF" w14:textId="77777777" w:rsidTr="00BD4E04">
        <w:trPr>
          <w:cantSplit/>
        </w:trPr>
        <w:tc>
          <w:tcPr>
            <w:tcW w:w="1869" w:type="dxa"/>
          </w:tcPr>
          <w:p w14:paraId="29E62E16" w14:textId="77777777" w:rsidR="00AD19BE" w:rsidRDefault="00AD19BE" w:rsidP="00BD4E04">
            <w:pPr>
              <w:pStyle w:val="TableSideHeading"/>
              <w:rPr>
                <w:rtl/>
              </w:rPr>
            </w:pPr>
          </w:p>
        </w:tc>
        <w:tc>
          <w:tcPr>
            <w:tcW w:w="624" w:type="dxa"/>
          </w:tcPr>
          <w:p w14:paraId="7E82D948" w14:textId="77777777" w:rsidR="00AD19BE" w:rsidRDefault="00AD19BE" w:rsidP="00BD4E04">
            <w:pPr>
              <w:pStyle w:val="TableText"/>
            </w:pPr>
          </w:p>
        </w:tc>
        <w:tc>
          <w:tcPr>
            <w:tcW w:w="624" w:type="dxa"/>
          </w:tcPr>
          <w:p w14:paraId="7CD69072" w14:textId="77777777" w:rsidR="00AD19BE" w:rsidRDefault="00AD19BE" w:rsidP="00BD4E04">
            <w:pPr>
              <w:pStyle w:val="TableText"/>
            </w:pPr>
          </w:p>
        </w:tc>
        <w:tc>
          <w:tcPr>
            <w:tcW w:w="624" w:type="dxa"/>
          </w:tcPr>
          <w:p w14:paraId="4E7057D4" w14:textId="77777777" w:rsidR="00AD19BE" w:rsidRDefault="00AD19BE" w:rsidP="00BD4E04">
            <w:pPr>
              <w:pStyle w:val="TableText"/>
            </w:pPr>
          </w:p>
        </w:tc>
        <w:tc>
          <w:tcPr>
            <w:tcW w:w="624" w:type="dxa"/>
          </w:tcPr>
          <w:p w14:paraId="46E647F1" w14:textId="77777777" w:rsidR="00AD19BE" w:rsidRDefault="00AD19BE" w:rsidP="00BD4E04">
            <w:pPr>
              <w:pStyle w:val="TableText"/>
            </w:pPr>
          </w:p>
        </w:tc>
        <w:tc>
          <w:tcPr>
            <w:tcW w:w="624" w:type="dxa"/>
          </w:tcPr>
          <w:p w14:paraId="0B62BFEC" w14:textId="77777777" w:rsidR="00AD19BE" w:rsidRDefault="00AD19BE" w:rsidP="00BD4E04">
            <w:pPr>
              <w:pStyle w:val="TableText"/>
            </w:pPr>
          </w:p>
        </w:tc>
        <w:tc>
          <w:tcPr>
            <w:tcW w:w="4647" w:type="dxa"/>
            <w:gridSpan w:val="2"/>
          </w:tcPr>
          <w:p w14:paraId="66696C44" w14:textId="77777777" w:rsidR="00AD19BE" w:rsidRDefault="00AD19BE" w:rsidP="00BD4E04">
            <w:pPr>
              <w:pStyle w:val="TableBlock"/>
              <w:rPr>
                <w:rtl/>
              </w:rPr>
            </w:pPr>
            <w:r>
              <w:rPr>
                <w:rFonts w:ascii="David" w:hAnsi="David" w:hint="cs"/>
                <w:i/>
                <w:sz w:val="26"/>
                <w:rtl/>
              </w:rPr>
              <w:t>(ג)</w:t>
            </w:r>
            <w:r>
              <w:rPr>
                <w:rFonts w:ascii="David" w:hAnsi="David"/>
                <w:i/>
                <w:sz w:val="26"/>
                <w:rtl/>
              </w:rPr>
              <w:tab/>
            </w:r>
            <w:r>
              <w:rPr>
                <w:rFonts w:ascii="David" w:hAnsi="David" w:hint="cs"/>
                <w:i/>
                <w:sz w:val="26"/>
                <w:rtl/>
              </w:rPr>
              <w:t xml:space="preserve">המחזיק מידע אודות קטין </w:t>
            </w:r>
            <w:r>
              <w:rPr>
                <w:rFonts w:hint="cs"/>
                <w:i/>
                <w:sz w:val="26"/>
                <w:rtl/>
              </w:rPr>
              <w:t>ב</w:t>
            </w:r>
            <w:r w:rsidRPr="00BF3BAF">
              <w:rPr>
                <w:rFonts w:hint="cs"/>
                <w:i/>
                <w:sz w:val="26"/>
                <w:rtl/>
              </w:rPr>
              <w:t>מאגר מידע</w:t>
            </w:r>
            <w:r>
              <w:rPr>
                <w:rFonts w:hint="cs"/>
                <w:i/>
                <w:sz w:val="26"/>
                <w:rtl/>
              </w:rPr>
              <w:t xml:space="preserve"> </w:t>
            </w:r>
            <w:r>
              <w:rPr>
                <w:rFonts w:ascii="David" w:hAnsi="David" w:hint="cs"/>
                <w:i/>
                <w:sz w:val="26"/>
                <w:rtl/>
              </w:rPr>
              <w:t>יחזיק העתק של ההודעה לפי סעיף 11א, וכן תיעוד של ההסכמה להחזקת המידע, של</w:t>
            </w:r>
            <w:r w:rsidRPr="00BF3BAF">
              <w:rPr>
                <w:rFonts w:ascii="David" w:hAnsi="David" w:hint="cs"/>
                <w:i/>
                <w:sz w:val="26"/>
                <w:rtl/>
              </w:rPr>
              <w:t xml:space="preserve"> </w:t>
            </w:r>
            <w:r>
              <w:rPr>
                <w:rFonts w:asciiTheme="minorHAnsi" w:hAnsiTheme="minorHAnsi" w:hint="cs"/>
                <w:i/>
                <w:sz w:val="26"/>
                <w:rtl/>
              </w:rPr>
              <w:t>הפעולות שנעשו לשם קבלת</w:t>
            </w:r>
            <w:r w:rsidRPr="00BF3BAF">
              <w:rPr>
                <w:rFonts w:ascii="David" w:hAnsi="David" w:hint="cs"/>
                <w:i/>
                <w:sz w:val="26"/>
                <w:rtl/>
              </w:rPr>
              <w:t xml:space="preserve"> ההסכמה </w:t>
            </w:r>
            <w:r>
              <w:rPr>
                <w:rFonts w:ascii="David" w:hAnsi="David" w:hint="cs"/>
                <w:i/>
                <w:sz w:val="26"/>
                <w:rtl/>
              </w:rPr>
              <w:t>ושל השימוש</w:t>
            </w:r>
            <w:r>
              <w:rPr>
                <w:rFonts w:hint="cs"/>
                <w:rtl/>
              </w:rPr>
              <w:t xml:space="preserve"> שנעשה במידע;</w:t>
            </w:r>
          </w:p>
        </w:tc>
      </w:tr>
      <w:tr w:rsidR="00AD19BE" w14:paraId="1B8038F5" w14:textId="77777777" w:rsidTr="00BD4E04">
        <w:trPr>
          <w:cantSplit/>
        </w:trPr>
        <w:tc>
          <w:tcPr>
            <w:tcW w:w="1869" w:type="dxa"/>
          </w:tcPr>
          <w:p w14:paraId="328ED0DD" w14:textId="77777777" w:rsidR="00AD19BE" w:rsidRDefault="00AD19BE" w:rsidP="00BD4E04">
            <w:pPr>
              <w:pStyle w:val="TableSideHeading"/>
              <w:rPr>
                <w:rtl/>
              </w:rPr>
            </w:pPr>
          </w:p>
        </w:tc>
        <w:tc>
          <w:tcPr>
            <w:tcW w:w="624" w:type="dxa"/>
          </w:tcPr>
          <w:p w14:paraId="2BEF7B3D" w14:textId="77777777" w:rsidR="00AD19BE" w:rsidRDefault="00AD19BE" w:rsidP="00BD4E04">
            <w:pPr>
              <w:pStyle w:val="TableText"/>
            </w:pPr>
          </w:p>
        </w:tc>
        <w:tc>
          <w:tcPr>
            <w:tcW w:w="624" w:type="dxa"/>
          </w:tcPr>
          <w:p w14:paraId="1D579B8B" w14:textId="77777777" w:rsidR="00AD19BE" w:rsidRDefault="00AD19BE" w:rsidP="00BD4E04">
            <w:pPr>
              <w:pStyle w:val="TableText"/>
            </w:pPr>
          </w:p>
        </w:tc>
        <w:tc>
          <w:tcPr>
            <w:tcW w:w="624" w:type="dxa"/>
          </w:tcPr>
          <w:p w14:paraId="44F6E8CE" w14:textId="77777777" w:rsidR="00AD19BE" w:rsidRDefault="00AD19BE" w:rsidP="00BD4E04">
            <w:pPr>
              <w:pStyle w:val="TableText"/>
            </w:pPr>
          </w:p>
        </w:tc>
        <w:tc>
          <w:tcPr>
            <w:tcW w:w="624" w:type="dxa"/>
          </w:tcPr>
          <w:p w14:paraId="4F4E0159" w14:textId="77777777" w:rsidR="00AD19BE" w:rsidRDefault="00AD19BE" w:rsidP="00BD4E04">
            <w:pPr>
              <w:pStyle w:val="TableText"/>
            </w:pPr>
          </w:p>
        </w:tc>
        <w:tc>
          <w:tcPr>
            <w:tcW w:w="624" w:type="dxa"/>
          </w:tcPr>
          <w:p w14:paraId="7E969D5A" w14:textId="77777777" w:rsidR="00AD19BE" w:rsidRDefault="00AD19BE" w:rsidP="00BD4E04">
            <w:pPr>
              <w:pStyle w:val="TableText"/>
            </w:pPr>
          </w:p>
        </w:tc>
        <w:tc>
          <w:tcPr>
            <w:tcW w:w="4647" w:type="dxa"/>
            <w:gridSpan w:val="2"/>
          </w:tcPr>
          <w:p w14:paraId="731F86B8" w14:textId="331D8B19" w:rsidR="00AD19BE" w:rsidRDefault="00AD19BE" w:rsidP="00BD4E04">
            <w:pPr>
              <w:pStyle w:val="TableBlock"/>
              <w:rPr>
                <w:rtl/>
              </w:rPr>
            </w:pPr>
            <w:r>
              <w:rPr>
                <w:rFonts w:ascii="David" w:hAnsi="David" w:hint="cs"/>
                <w:i/>
                <w:sz w:val="26"/>
                <w:rtl/>
              </w:rPr>
              <w:t>(ד)</w:t>
            </w:r>
            <w:r>
              <w:rPr>
                <w:rFonts w:ascii="David" w:hAnsi="David"/>
                <w:i/>
                <w:sz w:val="26"/>
                <w:rtl/>
              </w:rPr>
              <w:tab/>
            </w:r>
            <w:r>
              <w:rPr>
                <w:rFonts w:ascii="David" w:hAnsi="David" w:hint="cs"/>
                <w:i/>
                <w:sz w:val="26"/>
                <w:rtl/>
              </w:rPr>
              <w:t xml:space="preserve">מידע </w:t>
            </w:r>
            <w:r w:rsidRPr="00BF3BAF">
              <w:rPr>
                <w:rFonts w:ascii="David" w:hAnsi="David" w:hint="cs"/>
                <w:i/>
                <w:sz w:val="26"/>
                <w:rtl/>
              </w:rPr>
              <w:t>אוד</w:t>
            </w:r>
            <w:r>
              <w:rPr>
                <w:rFonts w:ascii="David" w:hAnsi="David" w:hint="cs"/>
                <w:i/>
                <w:sz w:val="26"/>
                <w:rtl/>
              </w:rPr>
              <w:t>ות קטין מתחת לגיל 13 או מידע רגיש אודות קטין, לא ישמש ל</w:t>
            </w:r>
            <w:r w:rsidRPr="00BF3BAF">
              <w:rPr>
                <w:rFonts w:ascii="David" w:hAnsi="David" w:hint="cs"/>
                <w:i/>
                <w:sz w:val="26"/>
                <w:rtl/>
              </w:rPr>
              <w:t xml:space="preserve">דיוור ישיר </w:t>
            </w:r>
            <w:r>
              <w:rPr>
                <w:rFonts w:ascii="David" w:hAnsi="David" w:hint="cs"/>
                <w:i/>
                <w:sz w:val="26"/>
                <w:rtl/>
              </w:rPr>
              <w:t xml:space="preserve">כהגדרתו בסעיף 17ג או שירותי דיוור ישיר כהגדרתם בסעיף 17ג או הצגת פרסומת, </w:t>
            </w:r>
            <w:r w:rsidRPr="00AF31EF">
              <w:rPr>
                <w:rFonts w:ascii="David" w:hAnsi="David"/>
                <w:i/>
                <w:sz w:val="26"/>
                <w:rtl/>
              </w:rPr>
              <w:t xml:space="preserve">בהתבסס על </w:t>
            </w:r>
            <w:r>
              <w:rPr>
                <w:rFonts w:ascii="David" w:hAnsi="David" w:hint="cs"/>
                <w:i/>
                <w:sz w:val="26"/>
                <w:rtl/>
              </w:rPr>
              <w:t>איפיון של הקטין</w:t>
            </w:r>
            <w:r w:rsidRPr="00AF31EF">
              <w:rPr>
                <w:rFonts w:ascii="David" w:hAnsi="David"/>
                <w:i/>
                <w:sz w:val="26"/>
                <w:rtl/>
              </w:rPr>
              <w:t xml:space="preserve"> </w:t>
            </w:r>
            <w:r>
              <w:rPr>
                <w:rFonts w:ascii="David" w:hAnsi="David" w:hint="cs"/>
                <w:i/>
                <w:sz w:val="26"/>
                <w:rtl/>
              </w:rPr>
              <w:t xml:space="preserve">או בהתבסס על </w:t>
            </w:r>
            <w:r w:rsidRPr="00AF31EF">
              <w:rPr>
                <w:rFonts w:ascii="David" w:hAnsi="David"/>
                <w:i/>
                <w:sz w:val="26"/>
                <w:rtl/>
              </w:rPr>
              <w:t>השתייכותו לקבו</w:t>
            </w:r>
            <w:r>
              <w:rPr>
                <w:rFonts w:ascii="David" w:hAnsi="David"/>
                <w:i/>
                <w:sz w:val="26"/>
                <w:rtl/>
              </w:rPr>
              <w:t xml:space="preserve">צת אוכלוסין שנקבעה על פי </w:t>
            </w:r>
            <w:r w:rsidR="009D7F88">
              <w:rPr>
                <w:rFonts w:ascii="David" w:hAnsi="David" w:hint="cs"/>
                <w:i/>
                <w:sz w:val="26"/>
                <w:rtl/>
              </w:rPr>
              <w:t>א</w:t>
            </w:r>
            <w:r>
              <w:rPr>
                <w:rFonts w:ascii="David" w:hAnsi="David" w:hint="cs"/>
                <w:i/>
                <w:sz w:val="26"/>
                <w:rtl/>
              </w:rPr>
              <w:t>פיון של הקטין</w:t>
            </w:r>
            <w:r w:rsidRPr="00BF3BAF">
              <w:rPr>
                <w:rFonts w:ascii="David" w:hAnsi="David" w:hint="cs"/>
                <w:i/>
                <w:sz w:val="26"/>
                <w:rtl/>
              </w:rPr>
              <w:t>.</w:t>
            </w:r>
            <w:r>
              <w:rPr>
                <w:rFonts w:hint="cs"/>
                <w:rtl/>
              </w:rPr>
              <w:t>"</w:t>
            </w:r>
          </w:p>
        </w:tc>
      </w:tr>
      <w:tr w:rsidR="00AD19BE" w14:paraId="2D26B1D9" w14:textId="77777777" w:rsidTr="00BD4E04">
        <w:trPr>
          <w:cantSplit/>
        </w:trPr>
        <w:tc>
          <w:tcPr>
            <w:tcW w:w="1869" w:type="dxa"/>
          </w:tcPr>
          <w:p w14:paraId="2115C913" w14:textId="77777777" w:rsidR="00AD19BE" w:rsidRPr="00BF3BAF" w:rsidRDefault="00AD19BE" w:rsidP="00BD4E04">
            <w:pPr>
              <w:pStyle w:val="TableSideHeading"/>
              <w:rPr>
                <w:sz w:val="26"/>
              </w:rPr>
            </w:pPr>
            <w:r>
              <w:rPr>
                <w:rFonts w:hint="cs"/>
                <w:sz w:val="26"/>
                <w:rtl/>
              </w:rPr>
              <w:t>הוספת</w:t>
            </w:r>
            <w:r w:rsidRPr="00BF3BAF">
              <w:rPr>
                <w:rFonts w:hint="cs"/>
                <w:sz w:val="26"/>
                <w:rtl/>
              </w:rPr>
              <w:t xml:space="preserve"> סעיף </w:t>
            </w:r>
            <w:r>
              <w:rPr>
                <w:rFonts w:hint="cs"/>
                <w:sz w:val="26"/>
                <w:rtl/>
              </w:rPr>
              <w:t>14א</w:t>
            </w:r>
          </w:p>
        </w:tc>
        <w:tc>
          <w:tcPr>
            <w:tcW w:w="624" w:type="dxa"/>
          </w:tcPr>
          <w:p w14:paraId="5BCFAEF9" w14:textId="12BB4279" w:rsidR="00AD19BE" w:rsidRPr="00BF3BAF" w:rsidRDefault="009D7F88" w:rsidP="00BD4E04">
            <w:pPr>
              <w:pStyle w:val="TableText"/>
              <w:rPr>
                <w:sz w:val="26"/>
              </w:rPr>
            </w:pPr>
            <w:r>
              <w:rPr>
                <w:rFonts w:hint="cs"/>
                <w:sz w:val="26"/>
                <w:rtl/>
              </w:rPr>
              <w:t>5</w:t>
            </w:r>
            <w:r w:rsidR="00AD19BE" w:rsidRPr="00BF3BAF">
              <w:rPr>
                <w:rFonts w:hint="cs"/>
                <w:sz w:val="26"/>
                <w:rtl/>
              </w:rPr>
              <w:t>.</w:t>
            </w:r>
          </w:p>
        </w:tc>
        <w:tc>
          <w:tcPr>
            <w:tcW w:w="7143" w:type="dxa"/>
            <w:gridSpan w:val="6"/>
          </w:tcPr>
          <w:p w14:paraId="497874D3" w14:textId="3EC7F513" w:rsidR="00AD19BE" w:rsidRPr="00BF3BAF" w:rsidRDefault="009D7F88" w:rsidP="00BD4E04">
            <w:pPr>
              <w:pStyle w:val="TableBlock"/>
              <w:rPr>
                <w:sz w:val="26"/>
              </w:rPr>
            </w:pPr>
            <w:r>
              <w:rPr>
                <w:rFonts w:hint="cs"/>
                <w:sz w:val="26"/>
                <w:rtl/>
              </w:rPr>
              <w:t>אחרי סעיף 14 לחוק העיקרי יבוא:</w:t>
            </w:r>
          </w:p>
        </w:tc>
      </w:tr>
      <w:tr w:rsidR="00AD19BE" w14:paraId="2F4E9C92" w14:textId="77777777" w:rsidTr="00BD4E04">
        <w:trPr>
          <w:cantSplit/>
        </w:trPr>
        <w:tc>
          <w:tcPr>
            <w:tcW w:w="1869" w:type="dxa"/>
          </w:tcPr>
          <w:p w14:paraId="40819A96" w14:textId="77777777" w:rsidR="00AD19BE" w:rsidRDefault="00AD19BE" w:rsidP="00BD4E04">
            <w:pPr>
              <w:pStyle w:val="TableSideHeading"/>
              <w:keepLines w:val="0"/>
            </w:pPr>
          </w:p>
        </w:tc>
        <w:tc>
          <w:tcPr>
            <w:tcW w:w="624" w:type="dxa"/>
          </w:tcPr>
          <w:p w14:paraId="471454A4" w14:textId="77777777" w:rsidR="00AD19BE" w:rsidRDefault="00AD19BE" w:rsidP="00BD4E04">
            <w:pPr>
              <w:pStyle w:val="TableText"/>
              <w:keepLines w:val="0"/>
            </w:pPr>
          </w:p>
        </w:tc>
        <w:tc>
          <w:tcPr>
            <w:tcW w:w="1872" w:type="dxa"/>
            <w:gridSpan w:val="3"/>
          </w:tcPr>
          <w:p w14:paraId="720003D9" w14:textId="77777777" w:rsidR="00AD19BE" w:rsidRDefault="00AD19BE" w:rsidP="00BD4E04">
            <w:pPr>
              <w:pStyle w:val="TableInnerSideHeading"/>
            </w:pPr>
            <w:r>
              <w:rPr>
                <w:rFonts w:hint="cs"/>
                <w:sz w:val="26"/>
                <w:rtl/>
              </w:rPr>
              <w:t xml:space="preserve">"מחיקת </w:t>
            </w:r>
            <w:r w:rsidRPr="00BF3BAF">
              <w:rPr>
                <w:rFonts w:hint="cs"/>
                <w:sz w:val="26"/>
                <w:rtl/>
              </w:rPr>
              <w:t>מידע אודות קטין</w:t>
            </w:r>
          </w:p>
        </w:tc>
        <w:tc>
          <w:tcPr>
            <w:tcW w:w="624" w:type="dxa"/>
          </w:tcPr>
          <w:p w14:paraId="05A087BC" w14:textId="0AF070AE" w:rsidR="00AD19BE" w:rsidRDefault="00AD19BE" w:rsidP="00BD4E04">
            <w:pPr>
              <w:pStyle w:val="TableText"/>
            </w:pPr>
            <w:r>
              <w:rPr>
                <w:rFonts w:hint="cs"/>
                <w:sz w:val="26"/>
                <w:rtl/>
              </w:rPr>
              <w:t>14א</w:t>
            </w:r>
            <w:r>
              <w:rPr>
                <w:rFonts w:hint="cs"/>
                <w:rtl/>
              </w:rPr>
              <w:t>.</w:t>
            </w:r>
          </w:p>
        </w:tc>
        <w:tc>
          <w:tcPr>
            <w:tcW w:w="4647" w:type="dxa"/>
            <w:gridSpan w:val="2"/>
          </w:tcPr>
          <w:p w14:paraId="7A83D9FC" w14:textId="77777777" w:rsidR="00AD19BE" w:rsidRDefault="00AD19BE" w:rsidP="00BD4E04">
            <w:pPr>
              <w:pStyle w:val="TableBlock"/>
            </w:pPr>
            <w:r>
              <w:rPr>
                <w:rFonts w:hint="cs"/>
                <w:i/>
                <w:sz w:val="26"/>
                <w:rtl/>
              </w:rPr>
              <w:t>(א)</w:t>
            </w:r>
            <w:r>
              <w:rPr>
                <w:i/>
                <w:sz w:val="26"/>
                <w:rtl/>
              </w:rPr>
              <w:tab/>
            </w:r>
            <w:r>
              <w:rPr>
                <w:rFonts w:hint="cs"/>
                <w:i/>
                <w:sz w:val="26"/>
                <w:rtl/>
              </w:rPr>
              <w:t xml:space="preserve">אדם, בין אם הוא קטין ובין אם הוא בגיר, רשאי </w:t>
            </w:r>
            <w:r w:rsidRPr="00553A22">
              <w:rPr>
                <w:i/>
                <w:sz w:val="26"/>
                <w:rtl/>
              </w:rPr>
              <w:t>לפנות לבעל מאגר המידע</w:t>
            </w:r>
            <w:r>
              <w:rPr>
                <w:rFonts w:hint="cs"/>
                <w:i/>
                <w:sz w:val="26"/>
                <w:rtl/>
              </w:rPr>
              <w:t xml:space="preserve"> בבקשה למחוק מידע שנמסר אודותיו בהיותו קטין, למעט אם המידע מוחזק בהסמכה מפורשת בחוק כאמור בסעיף 11ב(א);</w:t>
            </w:r>
          </w:p>
        </w:tc>
      </w:tr>
      <w:tr w:rsidR="00AD19BE" w14:paraId="5B887C85" w14:textId="77777777" w:rsidTr="00BD4E04">
        <w:trPr>
          <w:cantSplit/>
        </w:trPr>
        <w:tc>
          <w:tcPr>
            <w:tcW w:w="1869" w:type="dxa"/>
          </w:tcPr>
          <w:p w14:paraId="75D968F9" w14:textId="77777777" w:rsidR="00AD19BE" w:rsidRDefault="00AD19BE" w:rsidP="00BD4E04">
            <w:pPr>
              <w:pStyle w:val="TableSideHeading"/>
            </w:pPr>
          </w:p>
        </w:tc>
        <w:tc>
          <w:tcPr>
            <w:tcW w:w="624" w:type="dxa"/>
          </w:tcPr>
          <w:p w14:paraId="309D13CA" w14:textId="77777777" w:rsidR="00AD19BE" w:rsidRDefault="00AD19BE" w:rsidP="00BD4E04">
            <w:pPr>
              <w:pStyle w:val="TableText"/>
            </w:pPr>
          </w:p>
        </w:tc>
        <w:tc>
          <w:tcPr>
            <w:tcW w:w="624" w:type="dxa"/>
          </w:tcPr>
          <w:p w14:paraId="150D05A0" w14:textId="77777777" w:rsidR="00AD19BE" w:rsidRDefault="00AD19BE" w:rsidP="00BD4E04">
            <w:pPr>
              <w:pStyle w:val="TableText"/>
            </w:pPr>
          </w:p>
        </w:tc>
        <w:tc>
          <w:tcPr>
            <w:tcW w:w="624" w:type="dxa"/>
          </w:tcPr>
          <w:p w14:paraId="2F9D8B6A" w14:textId="77777777" w:rsidR="00AD19BE" w:rsidRDefault="00AD19BE" w:rsidP="00BD4E04">
            <w:pPr>
              <w:pStyle w:val="TableText"/>
            </w:pPr>
          </w:p>
        </w:tc>
        <w:tc>
          <w:tcPr>
            <w:tcW w:w="624" w:type="dxa"/>
          </w:tcPr>
          <w:p w14:paraId="49FA3581" w14:textId="77777777" w:rsidR="00AD19BE" w:rsidRDefault="00AD19BE" w:rsidP="00BD4E04">
            <w:pPr>
              <w:pStyle w:val="TableText"/>
            </w:pPr>
          </w:p>
        </w:tc>
        <w:tc>
          <w:tcPr>
            <w:tcW w:w="624" w:type="dxa"/>
          </w:tcPr>
          <w:p w14:paraId="1EE36118" w14:textId="77777777" w:rsidR="00AD19BE" w:rsidRDefault="00AD19BE" w:rsidP="00BD4E04">
            <w:pPr>
              <w:pStyle w:val="TableText"/>
            </w:pPr>
          </w:p>
        </w:tc>
        <w:tc>
          <w:tcPr>
            <w:tcW w:w="4647" w:type="dxa"/>
            <w:gridSpan w:val="2"/>
          </w:tcPr>
          <w:p w14:paraId="14109749" w14:textId="77777777" w:rsidR="00AD19BE" w:rsidRDefault="00AD19BE" w:rsidP="00BD4E04">
            <w:pPr>
              <w:pStyle w:val="TableBlock"/>
            </w:pPr>
            <w:r>
              <w:rPr>
                <w:rFonts w:hint="cs"/>
                <w:rtl/>
              </w:rPr>
              <w:t>(ב)</w:t>
            </w:r>
            <w:r>
              <w:rPr>
                <w:rtl/>
              </w:rPr>
              <w:tab/>
            </w:r>
            <w:r>
              <w:rPr>
                <w:rFonts w:hint="cs"/>
                <w:rtl/>
              </w:rPr>
              <w:t xml:space="preserve">בעל מאגר המידע רשאי לסרב </w:t>
            </w:r>
            <w:r>
              <w:rPr>
                <w:rFonts w:ascii="David" w:hAnsi="David" w:hint="cs"/>
                <w:i/>
                <w:sz w:val="26"/>
                <w:rtl/>
              </w:rPr>
              <w:t>ל</w:t>
            </w:r>
            <w:r w:rsidRPr="00553A22">
              <w:rPr>
                <w:rFonts w:ascii="David" w:hAnsi="David"/>
                <w:i/>
                <w:sz w:val="26"/>
                <w:rtl/>
              </w:rPr>
              <w:t>בקשה כאמור בסעיף קטן (א)</w:t>
            </w:r>
            <w:r>
              <w:rPr>
                <w:rFonts w:hint="cs"/>
                <w:rtl/>
              </w:rPr>
              <w:t xml:space="preserve"> מטעמים ענייניים;</w:t>
            </w:r>
          </w:p>
        </w:tc>
      </w:tr>
      <w:tr w:rsidR="00AD19BE" w14:paraId="17A4530B" w14:textId="77777777" w:rsidTr="00BD4E04">
        <w:trPr>
          <w:cantSplit/>
        </w:trPr>
        <w:tc>
          <w:tcPr>
            <w:tcW w:w="1869" w:type="dxa"/>
          </w:tcPr>
          <w:p w14:paraId="1E1DF294" w14:textId="77777777" w:rsidR="00AD19BE" w:rsidRDefault="00AD19BE" w:rsidP="00BD4E04">
            <w:pPr>
              <w:pStyle w:val="TableSideHeading"/>
              <w:rPr>
                <w:rtl/>
              </w:rPr>
            </w:pPr>
          </w:p>
        </w:tc>
        <w:tc>
          <w:tcPr>
            <w:tcW w:w="624" w:type="dxa"/>
          </w:tcPr>
          <w:p w14:paraId="7DEFDFB1" w14:textId="77777777" w:rsidR="00AD19BE" w:rsidRDefault="00AD19BE" w:rsidP="00BD4E04">
            <w:pPr>
              <w:pStyle w:val="TableText"/>
            </w:pPr>
          </w:p>
        </w:tc>
        <w:tc>
          <w:tcPr>
            <w:tcW w:w="624" w:type="dxa"/>
          </w:tcPr>
          <w:p w14:paraId="766597E3" w14:textId="77777777" w:rsidR="00AD19BE" w:rsidRDefault="00AD19BE" w:rsidP="00BD4E04">
            <w:pPr>
              <w:pStyle w:val="TableText"/>
            </w:pPr>
          </w:p>
        </w:tc>
        <w:tc>
          <w:tcPr>
            <w:tcW w:w="624" w:type="dxa"/>
          </w:tcPr>
          <w:p w14:paraId="3280D2C8" w14:textId="77777777" w:rsidR="00AD19BE" w:rsidRDefault="00AD19BE" w:rsidP="00BD4E04">
            <w:pPr>
              <w:pStyle w:val="TableText"/>
            </w:pPr>
          </w:p>
        </w:tc>
        <w:tc>
          <w:tcPr>
            <w:tcW w:w="624" w:type="dxa"/>
          </w:tcPr>
          <w:p w14:paraId="13230B1D" w14:textId="77777777" w:rsidR="00AD19BE" w:rsidRDefault="00AD19BE" w:rsidP="00BD4E04">
            <w:pPr>
              <w:pStyle w:val="TableText"/>
            </w:pPr>
          </w:p>
        </w:tc>
        <w:tc>
          <w:tcPr>
            <w:tcW w:w="624" w:type="dxa"/>
          </w:tcPr>
          <w:p w14:paraId="426E23D0" w14:textId="77777777" w:rsidR="00AD19BE" w:rsidRDefault="00AD19BE" w:rsidP="00BD4E04">
            <w:pPr>
              <w:pStyle w:val="TableText"/>
            </w:pPr>
          </w:p>
        </w:tc>
        <w:tc>
          <w:tcPr>
            <w:tcW w:w="4647" w:type="dxa"/>
            <w:gridSpan w:val="2"/>
          </w:tcPr>
          <w:p w14:paraId="1660B8F5" w14:textId="1811A8A8" w:rsidR="00AD19BE" w:rsidRDefault="00AD19BE" w:rsidP="00BD4E04">
            <w:pPr>
              <w:pStyle w:val="TableBlock"/>
              <w:rPr>
                <w:rtl/>
              </w:rPr>
            </w:pPr>
            <w:r>
              <w:rPr>
                <w:rFonts w:ascii="David" w:hAnsi="David" w:hint="cs"/>
                <w:i/>
                <w:sz w:val="26"/>
                <w:rtl/>
              </w:rPr>
              <w:t>(ג)</w:t>
            </w:r>
            <w:r>
              <w:rPr>
                <w:rFonts w:ascii="David" w:hAnsi="David"/>
                <w:i/>
                <w:sz w:val="26"/>
                <w:rtl/>
              </w:rPr>
              <w:tab/>
            </w:r>
            <w:r w:rsidRPr="00553A22">
              <w:rPr>
                <w:rFonts w:ascii="David" w:hAnsi="David"/>
                <w:i/>
                <w:sz w:val="26"/>
                <w:rtl/>
              </w:rPr>
              <w:t>סירב בעל מאגר המידע למלא בקשה כאמור בסעיף קטן (א), יודיע על כך למבקש</w:t>
            </w:r>
            <w:r w:rsidRPr="00BF3BAF">
              <w:rPr>
                <w:rFonts w:ascii="David" w:hAnsi="David" w:hint="cs"/>
                <w:i/>
                <w:sz w:val="26"/>
                <w:rtl/>
              </w:rPr>
              <w:t xml:space="preserve"> בכתב</w:t>
            </w:r>
            <w:r>
              <w:rPr>
                <w:rFonts w:ascii="David" w:hAnsi="David" w:hint="cs"/>
                <w:i/>
                <w:sz w:val="26"/>
              </w:rPr>
              <w:t xml:space="preserve"> </w:t>
            </w:r>
            <w:r>
              <w:rPr>
                <w:rFonts w:ascii="David" w:hAnsi="David" w:hint="cs"/>
                <w:i/>
                <w:sz w:val="26"/>
                <w:rtl/>
              </w:rPr>
              <w:t>ויפרט בהודעה את טעמי הסירוב</w:t>
            </w:r>
            <w:r w:rsidRPr="00553A22">
              <w:rPr>
                <w:rFonts w:ascii="David" w:hAnsi="David"/>
                <w:i/>
                <w:sz w:val="26"/>
                <w:rtl/>
              </w:rPr>
              <w:t>.</w:t>
            </w:r>
            <w:r w:rsidR="009D7F88">
              <w:rPr>
                <w:rFonts w:ascii="David" w:hAnsi="David" w:hint="cs"/>
                <w:i/>
                <w:sz w:val="26"/>
                <w:rtl/>
              </w:rPr>
              <w:t>"</w:t>
            </w:r>
            <w:r w:rsidRPr="00553A22">
              <w:rPr>
                <w:rFonts w:ascii="David" w:hAnsi="David" w:hint="cs"/>
                <w:i/>
                <w:sz w:val="26"/>
                <w:rtl/>
              </w:rPr>
              <w:t xml:space="preserve"> </w:t>
            </w:r>
          </w:p>
        </w:tc>
      </w:tr>
      <w:tr w:rsidR="00AD19BE" w14:paraId="51E7FEAA" w14:textId="77777777" w:rsidTr="00BD4E04">
        <w:trPr>
          <w:cantSplit/>
        </w:trPr>
        <w:tc>
          <w:tcPr>
            <w:tcW w:w="1869" w:type="dxa"/>
          </w:tcPr>
          <w:p w14:paraId="16127DC7" w14:textId="77777777" w:rsidR="00AD19BE" w:rsidRPr="00BF3BAF" w:rsidRDefault="00AD19BE" w:rsidP="00BD4E04">
            <w:pPr>
              <w:pStyle w:val="TableSideHeading"/>
              <w:rPr>
                <w:sz w:val="26"/>
                <w:rtl/>
              </w:rPr>
            </w:pPr>
            <w:r>
              <w:rPr>
                <w:rFonts w:hint="cs"/>
                <w:sz w:val="26"/>
                <w:rtl/>
              </w:rPr>
              <w:t>תיקון סעיף 15</w:t>
            </w:r>
          </w:p>
        </w:tc>
        <w:tc>
          <w:tcPr>
            <w:tcW w:w="624" w:type="dxa"/>
          </w:tcPr>
          <w:p w14:paraId="5E6FF848" w14:textId="6EAE27B2" w:rsidR="00AD19BE" w:rsidRPr="00BF3BAF" w:rsidRDefault="009D7F88" w:rsidP="00BD4E04">
            <w:pPr>
              <w:pStyle w:val="TableText"/>
              <w:rPr>
                <w:sz w:val="26"/>
              </w:rPr>
            </w:pPr>
            <w:r>
              <w:rPr>
                <w:rFonts w:hint="cs"/>
                <w:sz w:val="26"/>
                <w:rtl/>
              </w:rPr>
              <w:t>6</w:t>
            </w:r>
            <w:r w:rsidR="00AD19BE">
              <w:rPr>
                <w:rFonts w:hint="cs"/>
                <w:sz w:val="26"/>
                <w:rtl/>
              </w:rPr>
              <w:t>.</w:t>
            </w:r>
          </w:p>
        </w:tc>
        <w:tc>
          <w:tcPr>
            <w:tcW w:w="7143" w:type="dxa"/>
            <w:gridSpan w:val="6"/>
          </w:tcPr>
          <w:p w14:paraId="0894DCD1" w14:textId="77777777" w:rsidR="00AD19BE" w:rsidRPr="00BF3BAF" w:rsidRDefault="00AD19BE" w:rsidP="00BD4E04">
            <w:pPr>
              <w:pStyle w:val="TableBlock"/>
              <w:rPr>
                <w:sz w:val="26"/>
                <w:rtl/>
              </w:rPr>
            </w:pPr>
            <w:r>
              <w:rPr>
                <w:rFonts w:hint="cs"/>
                <w:sz w:val="26"/>
                <w:rtl/>
              </w:rPr>
              <w:t>בסעיף 15 לחוק העיקרי, אחרי "</w:t>
            </w:r>
            <w:r w:rsidRPr="00E23B59">
              <w:rPr>
                <w:sz w:val="26"/>
                <w:rtl/>
              </w:rPr>
              <w:t>בסעיף 14(ג)</w:t>
            </w:r>
            <w:r>
              <w:rPr>
                <w:rFonts w:hint="cs"/>
                <w:sz w:val="26"/>
                <w:rtl/>
              </w:rPr>
              <w:t>" יבוא "או בסעיף 14א(ב)".</w:t>
            </w:r>
          </w:p>
        </w:tc>
      </w:tr>
      <w:tr w:rsidR="00AD19BE" w14:paraId="6E65BD19" w14:textId="77777777" w:rsidTr="00BD4E04">
        <w:trPr>
          <w:cantSplit/>
        </w:trPr>
        <w:tc>
          <w:tcPr>
            <w:tcW w:w="1869" w:type="dxa"/>
          </w:tcPr>
          <w:p w14:paraId="4C219733" w14:textId="77777777" w:rsidR="00AD19BE" w:rsidRPr="00BF3BAF" w:rsidRDefault="00AD19BE" w:rsidP="00BD4E04">
            <w:pPr>
              <w:pStyle w:val="TableSideHeading"/>
              <w:rPr>
                <w:sz w:val="26"/>
                <w:rtl/>
              </w:rPr>
            </w:pPr>
            <w:r w:rsidRPr="00BF3BAF">
              <w:rPr>
                <w:rFonts w:hint="cs"/>
                <w:sz w:val="26"/>
                <w:rtl/>
              </w:rPr>
              <w:t>תיקון סעיף 17</w:t>
            </w:r>
          </w:p>
        </w:tc>
        <w:tc>
          <w:tcPr>
            <w:tcW w:w="624" w:type="dxa"/>
          </w:tcPr>
          <w:p w14:paraId="3FB25865" w14:textId="09518DCB" w:rsidR="00AD19BE" w:rsidRPr="00BF3BAF" w:rsidRDefault="009D7F88" w:rsidP="00BD4E04">
            <w:pPr>
              <w:pStyle w:val="TableText"/>
              <w:rPr>
                <w:rtl/>
              </w:rPr>
            </w:pPr>
            <w:r>
              <w:rPr>
                <w:rFonts w:hint="cs"/>
                <w:sz w:val="26"/>
                <w:rtl/>
              </w:rPr>
              <w:t>7</w:t>
            </w:r>
            <w:r w:rsidR="00AD19BE" w:rsidRPr="00BF3BAF">
              <w:rPr>
                <w:rFonts w:hint="cs"/>
                <w:sz w:val="26"/>
                <w:rtl/>
              </w:rPr>
              <w:t>.</w:t>
            </w:r>
          </w:p>
        </w:tc>
        <w:tc>
          <w:tcPr>
            <w:tcW w:w="7143" w:type="dxa"/>
            <w:gridSpan w:val="6"/>
          </w:tcPr>
          <w:p w14:paraId="37F5DE81" w14:textId="77777777" w:rsidR="00AD19BE" w:rsidRDefault="00AD19BE" w:rsidP="00BD4E04">
            <w:pPr>
              <w:pStyle w:val="TableBlock"/>
              <w:rPr>
                <w:sz w:val="26"/>
                <w:rtl/>
              </w:rPr>
            </w:pPr>
            <w:r>
              <w:rPr>
                <w:rFonts w:hint="cs"/>
                <w:sz w:val="26"/>
                <w:rtl/>
              </w:rPr>
              <w:t>ב</w:t>
            </w:r>
            <w:r w:rsidRPr="00BF3BAF">
              <w:rPr>
                <w:rFonts w:hint="cs"/>
                <w:sz w:val="26"/>
                <w:rtl/>
              </w:rPr>
              <w:t xml:space="preserve">סעיף 17 </w:t>
            </w:r>
            <w:r>
              <w:rPr>
                <w:rFonts w:hint="cs"/>
                <w:sz w:val="26"/>
                <w:rtl/>
              </w:rPr>
              <w:t xml:space="preserve">לחוק העיקרי, האמור בו </w:t>
            </w:r>
            <w:r w:rsidRPr="00BF3BAF">
              <w:rPr>
                <w:rFonts w:hint="cs"/>
                <w:sz w:val="26"/>
                <w:rtl/>
              </w:rPr>
              <w:t>יסומן (א), ואחריו יבוא:</w:t>
            </w:r>
          </w:p>
        </w:tc>
      </w:tr>
      <w:tr w:rsidR="00AD19BE" w14:paraId="50E8CA4F" w14:textId="77777777" w:rsidTr="00BD4E04">
        <w:trPr>
          <w:cantSplit/>
        </w:trPr>
        <w:tc>
          <w:tcPr>
            <w:tcW w:w="1869" w:type="dxa"/>
          </w:tcPr>
          <w:p w14:paraId="501457CD" w14:textId="77777777" w:rsidR="00AD19BE" w:rsidRPr="00BF3BAF" w:rsidRDefault="00AD19BE" w:rsidP="00BD4E04">
            <w:pPr>
              <w:pStyle w:val="TableSideHeading"/>
              <w:ind w:right="0"/>
              <w:rPr>
                <w:sz w:val="26"/>
              </w:rPr>
            </w:pPr>
          </w:p>
        </w:tc>
        <w:tc>
          <w:tcPr>
            <w:tcW w:w="624" w:type="dxa"/>
          </w:tcPr>
          <w:p w14:paraId="377926B8" w14:textId="77777777" w:rsidR="00AD19BE" w:rsidRPr="00BF3BAF" w:rsidRDefault="00AD19BE" w:rsidP="00BD4E04">
            <w:pPr>
              <w:pStyle w:val="TableText"/>
              <w:ind w:right="0"/>
              <w:jc w:val="both"/>
              <w:rPr>
                <w:sz w:val="26"/>
              </w:rPr>
            </w:pPr>
          </w:p>
        </w:tc>
        <w:tc>
          <w:tcPr>
            <w:tcW w:w="7143" w:type="dxa"/>
            <w:gridSpan w:val="6"/>
          </w:tcPr>
          <w:p w14:paraId="3DCF331E" w14:textId="77777777" w:rsidR="00AD19BE" w:rsidRPr="00BF3BAF" w:rsidRDefault="00AD19BE" w:rsidP="00BD4E04">
            <w:pPr>
              <w:pStyle w:val="TableBlock"/>
              <w:rPr>
                <w:i/>
                <w:sz w:val="26"/>
              </w:rPr>
            </w:pPr>
            <w:r>
              <w:rPr>
                <w:rFonts w:hint="cs"/>
                <w:i/>
                <w:sz w:val="26"/>
                <w:rtl/>
              </w:rPr>
              <w:t>"(ב)</w:t>
            </w:r>
            <w:r>
              <w:rPr>
                <w:i/>
                <w:sz w:val="26"/>
                <w:rtl/>
              </w:rPr>
              <w:tab/>
            </w:r>
            <w:r>
              <w:rPr>
                <w:rFonts w:hint="cs"/>
                <w:i/>
                <w:sz w:val="26"/>
                <w:rtl/>
              </w:rPr>
              <w:t>המחזיק במאגר מידע שיש בו מידע אודות קטין או המשתמש במידע אודות קטין</w:t>
            </w:r>
            <w:r w:rsidRPr="00BF3BAF">
              <w:rPr>
                <w:rFonts w:hint="cs"/>
                <w:i/>
                <w:sz w:val="26"/>
                <w:rtl/>
              </w:rPr>
              <w:t xml:space="preserve"> </w:t>
            </w:r>
            <w:r>
              <w:rPr>
                <w:rFonts w:hint="cs"/>
                <w:i/>
                <w:sz w:val="26"/>
                <w:rtl/>
              </w:rPr>
              <w:t>י</w:t>
            </w:r>
            <w:r w:rsidRPr="00BF3BAF">
              <w:rPr>
                <w:rFonts w:hint="cs"/>
                <w:i/>
                <w:sz w:val="26"/>
                <w:rtl/>
              </w:rPr>
              <w:t xml:space="preserve">ערוך </w:t>
            </w:r>
            <w:r>
              <w:rPr>
                <w:rFonts w:hint="cs"/>
                <w:i/>
                <w:sz w:val="26"/>
                <w:rtl/>
              </w:rPr>
              <w:t>דוח</w:t>
            </w:r>
            <w:r w:rsidRPr="00BF3BAF">
              <w:rPr>
                <w:rFonts w:hint="cs"/>
                <w:i/>
                <w:sz w:val="26"/>
                <w:rtl/>
              </w:rPr>
              <w:t xml:space="preserve"> פרטיות</w:t>
            </w:r>
            <w:r>
              <w:rPr>
                <w:rFonts w:hint="cs"/>
                <w:i/>
                <w:sz w:val="26"/>
                <w:rtl/>
              </w:rPr>
              <w:t xml:space="preserve"> ובו פרטים בדבר ההשלכות האפשריות של החזקת המידע על הפגיעה בפרטיות הקטין וכן פירוט </w:t>
            </w:r>
            <w:r w:rsidRPr="00025C65">
              <w:rPr>
                <w:rFonts w:hint="cs"/>
                <w:i/>
                <w:sz w:val="26"/>
                <w:rtl/>
              </w:rPr>
              <w:t xml:space="preserve">האמצעים שנקט לצמצם את הפגיעה בפרטיות לרבות אמצעי אבטחת המידע; שר המשפטים רשאי לקבוע הוראות </w:t>
            </w:r>
            <w:r>
              <w:rPr>
                <w:rFonts w:hint="cs"/>
                <w:i/>
                <w:sz w:val="26"/>
                <w:rtl/>
              </w:rPr>
              <w:t>בדבר</w:t>
            </w:r>
            <w:r w:rsidRPr="00025C65">
              <w:rPr>
                <w:rFonts w:hint="cs"/>
                <w:i/>
                <w:sz w:val="26"/>
                <w:rtl/>
              </w:rPr>
              <w:t xml:space="preserve"> </w:t>
            </w:r>
            <w:r>
              <w:rPr>
                <w:rFonts w:hint="cs"/>
                <w:i/>
                <w:sz w:val="26"/>
                <w:rtl/>
              </w:rPr>
              <w:t>הדוח ואופן הכנתו</w:t>
            </w:r>
            <w:r w:rsidRPr="00025C65">
              <w:rPr>
                <w:rFonts w:hint="cs"/>
                <w:i/>
                <w:sz w:val="26"/>
                <w:rtl/>
              </w:rPr>
              <w:t xml:space="preserve">, </w:t>
            </w:r>
            <w:r>
              <w:rPr>
                <w:rFonts w:hint="cs"/>
                <w:i/>
                <w:sz w:val="26"/>
                <w:rtl/>
              </w:rPr>
              <w:t xml:space="preserve">וכן בדבר </w:t>
            </w:r>
            <w:r w:rsidRPr="00025C65">
              <w:rPr>
                <w:rFonts w:hint="cs"/>
                <w:i/>
                <w:sz w:val="26"/>
                <w:rtl/>
              </w:rPr>
              <w:t xml:space="preserve">האמצעים </w:t>
            </w:r>
            <w:r>
              <w:rPr>
                <w:rFonts w:hint="cs"/>
                <w:i/>
                <w:sz w:val="26"/>
                <w:rtl/>
              </w:rPr>
              <w:t>שיינקטו ל</w:t>
            </w:r>
            <w:r w:rsidRPr="00025C65">
              <w:rPr>
                <w:rFonts w:hint="cs"/>
                <w:i/>
                <w:sz w:val="26"/>
                <w:rtl/>
              </w:rPr>
              <w:t xml:space="preserve">צמצום הפגיעה בפרטיות </w:t>
            </w:r>
            <w:r>
              <w:rPr>
                <w:rFonts w:hint="cs"/>
                <w:i/>
                <w:sz w:val="26"/>
                <w:rtl/>
              </w:rPr>
              <w:t xml:space="preserve">הקטין לרבות </w:t>
            </w:r>
            <w:r w:rsidRPr="00025C65">
              <w:rPr>
                <w:rFonts w:hint="cs"/>
                <w:i/>
                <w:sz w:val="26"/>
                <w:rtl/>
              </w:rPr>
              <w:t>אמצעי אבטחת המידע."</w:t>
            </w:r>
          </w:p>
        </w:tc>
      </w:tr>
      <w:tr w:rsidR="00AD19BE" w14:paraId="06E76778" w14:textId="77777777" w:rsidTr="00BD4E04">
        <w:trPr>
          <w:cantSplit/>
        </w:trPr>
        <w:tc>
          <w:tcPr>
            <w:tcW w:w="1869" w:type="dxa"/>
          </w:tcPr>
          <w:p w14:paraId="0DA60C53" w14:textId="77777777" w:rsidR="00AD19BE" w:rsidRPr="00BF3BAF" w:rsidRDefault="00AD19BE" w:rsidP="00BD4E04">
            <w:pPr>
              <w:pStyle w:val="TableSideHeading"/>
              <w:rPr>
                <w:sz w:val="26"/>
              </w:rPr>
            </w:pPr>
            <w:r w:rsidRPr="00BF3BAF">
              <w:rPr>
                <w:rFonts w:hint="cs"/>
                <w:sz w:val="26"/>
                <w:rtl/>
              </w:rPr>
              <w:t>תיקון סעיף 29</w:t>
            </w:r>
            <w:r>
              <w:rPr>
                <w:rFonts w:hint="cs"/>
                <w:sz w:val="26"/>
                <w:rtl/>
              </w:rPr>
              <w:t>א</w:t>
            </w:r>
          </w:p>
        </w:tc>
        <w:tc>
          <w:tcPr>
            <w:tcW w:w="624" w:type="dxa"/>
          </w:tcPr>
          <w:p w14:paraId="3633748A" w14:textId="1F8D8734" w:rsidR="00AD19BE" w:rsidRPr="00BF3BAF" w:rsidRDefault="009D7F88" w:rsidP="00BD4E04">
            <w:pPr>
              <w:pStyle w:val="TableText"/>
              <w:rPr>
                <w:sz w:val="26"/>
              </w:rPr>
            </w:pPr>
            <w:r>
              <w:rPr>
                <w:rFonts w:hint="cs"/>
                <w:sz w:val="26"/>
                <w:rtl/>
              </w:rPr>
              <w:t>8</w:t>
            </w:r>
            <w:r w:rsidR="00AD19BE" w:rsidRPr="00BF3BAF">
              <w:rPr>
                <w:rFonts w:hint="cs"/>
                <w:sz w:val="26"/>
                <w:rtl/>
              </w:rPr>
              <w:t>.</w:t>
            </w:r>
          </w:p>
        </w:tc>
        <w:tc>
          <w:tcPr>
            <w:tcW w:w="7143" w:type="dxa"/>
            <w:gridSpan w:val="6"/>
          </w:tcPr>
          <w:p w14:paraId="6F0AA84C" w14:textId="77777777" w:rsidR="00AD19BE" w:rsidRPr="00BF3BAF" w:rsidRDefault="00AD19BE" w:rsidP="00BD4E04">
            <w:pPr>
              <w:pStyle w:val="TableBlock"/>
              <w:rPr>
                <w:sz w:val="26"/>
              </w:rPr>
            </w:pPr>
            <w:r>
              <w:rPr>
                <w:rFonts w:ascii="David" w:hAnsi="David" w:hint="cs"/>
                <w:sz w:val="26"/>
                <w:rtl/>
              </w:rPr>
              <w:t>בסעיף 29א</w:t>
            </w:r>
            <w:r w:rsidRPr="00BF3BAF">
              <w:rPr>
                <w:rFonts w:ascii="David" w:hAnsi="David" w:hint="cs"/>
                <w:sz w:val="26"/>
                <w:rtl/>
              </w:rPr>
              <w:t xml:space="preserve"> לחוק העיקרי</w:t>
            </w:r>
            <w:r>
              <w:rPr>
                <w:rFonts w:hint="cs"/>
                <w:sz w:val="26"/>
                <w:rtl/>
              </w:rPr>
              <w:t xml:space="preserve"> </w:t>
            </w:r>
            <w:r>
              <w:rPr>
                <w:sz w:val="26"/>
                <w:rtl/>
              </w:rPr>
              <w:t>–</w:t>
            </w:r>
            <w:r>
              <w:rPr>
                <w:rFonts w:hint="cs"/>
                <w:sz w:val="26"/>
                <w:rtl/>
              </w:rPr>
              <w:t xml:space="preserve"> </w:t>
            </w:r>
          </w:p>
        </w:tc>
      </w:tr>
      <w:tr w:rsidR="00F956D0" w14:paraId="6B9D335C" w14:textId="77777777" w:rsidTr="00AD4FEE">
        <w:trPr>
          <w:cantSplit/>
        </w:trPr>
        <w:tc>
          <w:tcPr>
            <w:tcW w:w="1869" w:type="dxa"/>
          </w:tcPr>
          <w:p w14:paraId="767923CF" w14:textId="77777777" w:rsidR="00F956D0" w:rsidRPr="00BF3BAF" w:rsidRDefault="00F956D0" w:rsidP="00BD4E04">
            <w:pPr>
              <w:pStyle w:val="TableSideHeading"/>
              <w:ind w:right="0"/>
              <w:rPr>
                <w:sz w:val="26"/>
                <w:rtl/>
              </w:rPr>
            </w:pPr>
          </w:p>
        </w:tc>
        <w:tc>
          <w:tcPr>
            <w:tcW w:w="624" w:type="dxa"/>
          </w:tcPr>
          <w:p w14:paraId="205FA567" w14:textId="77777777" w:rsidR="00F956D0" w:rsidRPr="00BF3BAF" w:rsidRDefault="00F956D0" w:rsidP="00BD4E04">
            <w:pPr>
              <w:pStyle w:val="TableText"/>
              <w:ind w:right="0"/>
              <w:jc w:val="both"/>
              <w:rPr>
                <w:rtl/>
              </w:rPr>
            </w:pPr>
          </w:p>
        </w:tc>
        <w:tc>
          <w:tcPr>
            <w:tcW w:w="7143" w:type="dxa"/>
            <w:gridSpan w:val="6"/>
          </w:tcPr>
          <w:p w14:paraId="447F8850" w14:textId="1A8FEB13" w:rsidR="00F956D0" w:rsidRPr="00F956D0" w:rsidRDefault="00F956D0" w:rsidP="00F956D0">
            <w:pPr>
              <w:pStyle w:val="TableText"/>
              <w:ind w:right="0"/>
              <w:jc w:val="both"/>
              <w:rPr>
                <w:rtl/>
              </w:rPr>
            </w:pPr>
            <w:r>
              <w:rPr>
                <w:rFonts w:hint="cs"/>
                <w:rtl/>
              </w:rPr>
              <w:t>(1)</w:t>
            </w:r>
            <w:r>
              <w:rPr>
                <w:rtl/>
              </w:rPr>
              <w:tab/>
            </w:r>
            <w:r>
              <w:rPr>
                <w:rFonts w:ascii="David" w:hAnsi="David" w:hint="cs"/>
                <w:sz w:val="26"/>
                <w:rtl/>
              </w:rPr>
              <w:t>בסעיף קטן (א),</w:t>
            </w:r>
            <w:r w:rsidRPr="00BF3BAF">
              <w:rPr>
                <w:rFonts w:ascii="David" w:hAnsi="David" w:hint="cs"/>
                <w:sz w:val="26"/>
                <w:rtl/>
              </w:rPr>
              <w:t xml:space="preserve"> אחר</w:t>
            </w:r>
            <w:r>
              <w:rPr>
                <w:rFonts w:ascii="David" w:hAnsi="David" w:hint="cs"/>
                <w:sz w:val="26"/>
                <w:rtl/>
              </w:rPr>
              <w:t xml:space="preserve">י "בלא הוכחת נזק" יבוא </w:t>
            </w:r>
            <w:r w:rsidRPr="00567AC5">
              <w:rPr>
                <w:rFonts w:ascii="David" w:hAnsi="David" w:hint="cs"/>
                <w:sz w:val="26"/>
                <w:rtl/>
              </w:rPr>
              <w:t>";</w:t>
            </w:r>
            <w:r w:rsidRPr="00567AC5">
              <w:rPr>
                <w:rFonts w:ascii="David" w:hAnsi="David" w:hint="cs"/>
                <w:sz w:val="26"/>
              </w:rPr>
              <w:t xml:space="preserve"> </w:t>
            </w:r>
            <w:r>
              <w:rPr>
                <w:rFonts w:ascii="David" w:hAnsi="David"/>
                <w:sz w:val="26"/>
                <w:rtl/>
              </w:rPr>
              <w:t>הורשע אדם בעבירה לפי סעיף 5</w:t>
            </w:r>
            <w:r>
              <w:rPr>
                <w:rFonts w:ascii="David" w:hAnsi="David" w:hint="cs"/>
                <w:sz w:val="26"/>
                <w:rtl/>
              </w:rPr>
              <w:t xml:space="preserve"> ביחס</w:t>
            </w:r>
            <w:r w:rsidRPr="00025C65">
              <w:rPr>
                <w:rFonts w:ascii="David" w:hAnsi="David" w:hint="cs"/>
                <w:sz w:val="26"/>
                <w:rtl/>
              </w:rPr>
              <w:t xml:space="preserve"> </w:t>
            </w:r>
            <w:r>
              <w:rPr>
                <w:rFonts w:ascii="David" w:hAnsi="David" w:hint="cs"/>
                <w:sz w:val="26"/>
                <w:rtl/>
              </w:rPr>
              <w:t>ל</w:t>
            </w:r>
            <w:r w:rsidRPr="00567AC5">
              <w:rPr>
                <w:rFonts w:ascii="David" w:hAnsi="David" w:hint="cs"/>
                <w:sz w:val="26"/>
                <w:rtl/>
              </w:rPr>
              <w:t xml:space="preserve">פרטיותו של קטין, </w:t>
            </w:r>
            <w:r w:rsidRPr="00025C65">
              <w:rPr>
                <w:rFonts w:ascii="David" w:hAnsi="David"/>
                <w:sz w:val="26"/>
                <w:rtl/>
              </w:rPr>
              <w:t xml:space="preserve">רשאי בית המשפט לחייבו לשלם לנפגע פיצוי שלא יעלה </w:t>
            </w:r>
            <w:r>
              <w:rPr>
                <w:rFonts w:ascii="David" w:hAnsi="David" w:hint="cs"/>
                <w:sz w:val="26"/>
                <w:rtl/>
              </w:rPr>
              <w:t>כפל הסכום האמור בסעיף זה</w:t>
            </w:r>
            <w:r w:rsidRPr="00025C65">
              <w:rPr>
                <w:rFonts w:ascii="David" w:hAnsi="David"/>
                <w:sz w:val="26"/>
                <w:rtl/>
              </w:rPr>
              <w:t>, בלא הוכחת נזק</w:t>
            </w:r>
            <w:r w:rsidRPr="00567AC5">
              <w:rPr>
                <w:rFonts w:ascii="David" w:hAnsi="David" w:hint="cs"/>
                <w:sz w:val="26"/>
                <w:rtl/>
              </w:rPr>
              <w:t>"</w:t>
            </w:r>
            <w:r>
              <w:rPr>
                <w:rFonts w:ascii="David" w:hAnsi="David" w:hint="cs"/>
                <w:sz w:val="26"/>
                <w:rtl/>
              </w:rPr>
              <w:t>;</w:t>
            </w:r>
          </w:p>
        </w:tc>
      </w:tr>
      <w:tr w:rsidR="00F956D0" w14:paraId="529E9558" w14:textId="77777777" w:rsidTr="0085556B">
        <w:trPr>
          <w:cantSplit/>
        </w:trPr>
        <w:tc>
          <w:tcPr>
            <w:tcW w:w="1869" w:type="dxa"/>
          </w:tcPr>
          <w:p w14:paraId="08C84982" w14:textId="77777777" w:rsidR="00F956D0" w:rsidRPr="00BF3BAF" w:rsidRDefault="00F956D0" w:rsidP="00BD4E04">
            <w:pPr>
              <w:pStyle w:val="TableSideHeading"/>
              <w:ind w:right="0"/>
              <w:rPr>
                <w:sz w:val="26"/>
                <w:rtl/>
              </w:rPr>
            </w:pPr>
          </w:p>
        </w:tc>
        <w:tc>
          <w:tcPr>
            <w:tcW w:w="624" w:type="dxa"/>
          </w:tcPr>
          <w:p w14:paraId="06B8C816" w14:textId="77777777" w:rsidR="00F956D0" w:rsidRPr="00BF3BAF" w:rsidRDefault="00F956D0" w:rsidP="00BD4E04">
            <w:pPr>
              <w:pStyle w:val="TableText"/>
              <w:ind w:right="0"/>
              <w:jc w:val="both"/>
              <w:rPr>
                <w:sz w:val="26"/>
                <w:rtl/>
              </w:rPr>
            </w:pPr>
          </w:p>
        </w:tc>
        <w:tc>
          <w:tcPr>
            <w:tcW w:w="7143" w:type="dxa"/>
            <w:gridSpan w:val="6"/>
          </w:tcPr>
          <w:p w14:paraId="3BA20B77" w14:textId="7F0D216E" w:rsidR="00F956D0" w:rsidRPr="00F956D0" w:rsidRDefault="00F956D0" w:rsidP="00F956D0">
            <w:pPr>
              <w:pStyle w:val="TableText"/>
              <w:ind w:right="0"/>
              <w:jc w:val="both"/>
              <w:rPr>
                <w:rtl/>
              </w:rPr>
            </w:pPr>
            <w:r>
              <w:rPr>
                <w:rFonts w:hint="cs"/>
                <w:rtl/>
              </w:rPr>
              <w:t>(2)</w:t>
            </w:r>
            <w:r>
              <w:rPr>
                <w:rtl/>
              </w:rPr>
              <w:tab/>
            </w:r>
            <w:r>
              <w:rPr>
                <w:rFonts w:ascii="David" w:hAnsi="David" w:hint="cs"/>
                <w:sz w:val="26"/>
                <w:rtl/>
              </w:rPr>
              <w:t>בסעיף קטן (ב), אחרי פסקה (2) יבוא:</w:t>
            </w:r>
          </w:p>
        </w:tc>
      </w:tr>
      <w:tr w:rsidR="00AD19BE" w14:paraId="7087D45B" w14:textId="77777777" w:rsidTr="00BD4E04">
        <w:trPr>
          <w:cantSplit/>
        </w:trPr>
        <w:tc>
          <w:tcPr>
            <w:tcW w:w="1869" w:type="dxa"/>
          </w:tcPr>
          <w:p w14:paraId="28D424E4" w14:textId="77777777" w:rsidR="00AD19BE" w:rsidRPr="00BF3BAF" w:rsidRDefault="00AD19BE" w:rsidP="00BD4E04">
            <w:pPr>
              <w:pStyle w:val="TableSideHeading"/>
              <w:ind w:right="0"/>
              <w:rPr>
                <w:sz w:val="26"/>
                <w:rtl/>
              </w:rPr>
            </w:pPr>
          </w:p>
        </w:tc>
        <w:tc>
          <w:tcPr>
            <w:tcW w:w="624" w:type="dxa"/>
          </w:tcPr>
          <w:p w14:paraId="6D980316" w14:textId="77777777" w:rsidR="00AD19BE" w:rsidRPr="00BF3BAF" w:rsidRDefault="00AD19BE" w:rsidP="00BD4E04">
            <w:pPr>
              <w:pStyle w:val="TableText"/>
              <w:ind w:right="0"/>
              <w:jc w:val="both"/>
              <w:rPr>
                <w:sz w:val="26"/>
                <w:rtl/>
              </w:rPr>
            </w:pPr>
          </w:p>
        </w:tc>
        <w:tc>
          <w:tcPr>
            <w:tcW w:w="624" w:type="dxa"/>
          </w:tcPr>
          <w:p w14:paraId="7BBB4F09" w14:textId="77777777" w:rsidR="00AD19BE" w:rsidRPr="00567AC5" w:rsidRDefault="00AD19BE" w:rsidP="00BD4E04">
            <w:pPr>
              <w:pStyle w:val="TableText"/>
              <w:ind w:right="0"/>
              <w:jc w:val="both"/>
              <w:rPr>
                <w:rtl/>
              </w:rPr>
            </w:pPr>
          </w:p>
        </w:tc>
        <w:tc>
          <w:tcPr>
            <w:tcW w:w="6519" w:type="dxa"/>
            <w:gridSpan w:val="5"/>
          </w:tcPr>
          <w:p w14:paraId="5BD409C6" w14:textId="77777777" w:rsidR="00AD19BE" w:rsidRPr="00567AC5" w:rsidRDefault="00AD19BE" w:rsidP="00BD4E04">
            <w:pPr>
              <w:pStyle w:val="TableBlock"/>
              <w:rPr>
                <w:rFonts w:ascii="David" w:hAnsi="David"/>
                <w:sz w:val="26"/>
                <w:rtl/>
              </w:rPr>
            </w:pPr>
            <w:r w:rsidRPr="00BF3BAF">
              <w:rPr>
                <w:rFonts w:ascii="David" w:hAnsi="David" w:hint="cs"/>
                <w:sz w:val="26"/>
                <w:rtl/>
              </w:rPr>
              <w:t>"(</w:t>
            </w:r>
            <w:r>
              <w:rPr>
                <w:rFonts w:ascii="David" w:hAnsi="David" w:hint="cs"/>
                <w:sz w:val="26"/>
                <w:rtl/>
              </w:rPr>
              <w:t>3</w:t>
            </w:r>
            <w:r w:rsidRPr="00BF3BAF">
              <w:rPr>
                <w:rFonts w:ascii="David" w:hAnsi="David" w:hint="cs"/>
                <w:sz w:val="26"/>
                <w:rtl/>
              </w:rPr>
              <w:t>)</w:t>
            </w:r>
            <w:r w:rsidRPr="00567AC5">
              <w:rPr>
                <w:rFonts w:ascii="David" w:hAnsi="David"/>
                <w:sz w:val="26"/>
                <w:rtl/>
              </w:rPr>
              <w:tab/>
            </w:r>
            <w:r w:rsidRPr="00567AC5">
              <w:rPr>
                <w:rFonts w:ascii="David" w:hAnsi="David" w:hint="cs"/>
                <w:sz w:val="26"/>
                <w:rtl/>
              </w:rPr>
              <w:t xml:space="preserve">במשפט כאמור </w:t>
            </w:r>
            <w:r>
              <w:rPr>
                <w:rFonts w:ascii="David" w:hAnsi="David" w:hint="cs"/>
                <w:sz w:val="26"/>
                <w:rtl/>
              </w:rPr>
              <w:t>בפסקה (1) שבו</w:t>
            </w:r>
            <w:r w:rsidRPr="00567AC5">
              <w:rPr>
                <w:rFonts w:ascii="David" w:hAnsi="David" w:hint="cs"/>
                <w:sz w:val="26"/>
                <w:rtl/>
              </w:rPr>
              <w:t xml:space="preserve"> </w:t>
            </w:r>
            <w:r>
              <w:rPr>
                <w:rFonts w:ascii="David" w:hAnsi="David" w:hint="cs"/>
                <w:sz w:val="26"/>
                <w:rtl/>
              </w:rPr>
              <w:t>הוכח</w:t>
            </w:r>
            <w:r w:rsidRPr="00567AC5">
              <w:rPr>
                <w:rFonts w:ascii="David" w:hAnsi="David" w:hint="cs"/>
                <w:sz w:val="26"/>
                <w:rtl/>
              </w:rPr>
              <w:t xml:space="preserve"> </w:t>
            </w:r>
            <w:r>
              <w:rPr>
                <w:rFonts w:ascii="David" w:hAnsi="David" w:hint="cs"/>
                <w:sz w:val="26"/>
                <w:rtl/>
              </w:rPr>
              <w:t xml:space="preserve">שנפגעה </w:t>
            </w:r>
            <w:r w:rsidRPr="00567AC5">
              <w:rPr>
                <w:rFonts w:ascii="David" w:hAnsi="David" w:hint="cs"/>
                <w:sz w:val="26"/>
                <w:rtl/>
              </w:rPr>
              <w:t xml:space="preserve">פרטיותו של קטין, </w:t>
            </w:r>
            <w:r w:rsidRPr="00B6451F">
              <w:rPr>
                <w:rFonts w:ascii="David" w:hAnsi="David"/>
                <w:sz w:val="26"/>
                <w:rtl/>
              </w:rPr>
              <w:t>רשאי בית המשפט לחייב את הנתבע לשלם לנפגע פיצוי שלא יעלה על כפל הסכום כאמור באותה פסקה, בלא הוכחת נזק</w:t>
            </w:r>
            <w:r w:rsidRPr="00567AC5">
              <w:rPr>
                <w:rFonts w:ascii="David" w:hAnsi="David" w:hint="cs"/>
                <w:sz w:val="26"/>
                <w:rtl/>
              </w:rPr>
              <w:t>;</w:t>
            </w:r>
            <w:r w:rsidRPr="00567AC5">
              <w:rPr>
                <w:rFonts w:ascii="David" w:hAnsi="David" w:hint="cs"/>
                <w:sz w:val="26"/>
              </w:rPr>
              <w:t xml:space="preserve"> </w:t>
            </w:r>
            <w:r w:rsidRPr="00567AC5">
              <w:rPr>
                <w:rFonts w:ascii="David" w:hAnsi="David" w:hint="cs"/>
                <w:sz w:val="26"/>
                <w:rtl/>
              </w:rPr>
              <w:t xml:space="preserve">הוכח כי הפגיעה הייתה בכוונה לפגוע, </w:t>
            </w:r>
            <w:r w:rsidRPr="00567AC5">
              <w:rPr>
                <w:rFonts w:ascii="David" w:hAnsi="David"/>
                <w:sz w:val="26"/>
                <w:rtl/>
              </w:rPr>
              <w:t xml:space="preserve">רשאי בית המשפט לחייב את הנתבע לשלם לנפגע פיצוי שלא יעלה על כפל הסכום </w:t>
            </w:r>
            <w:r w:rsidRPr="00567AC5">
              <w:rPr>
                <w:rFonts w:ascii="David" w:hAnsi="David" w:hint="cs"/>
                <w:sz w:val="26"/>
                <w:rtl/>
              </w:rPr>
              <w:t xml:space="preserve">האמור </w:t>
            </w:r>
            <w:r>
              <w:rPr>
                <w:rFonts w:ascii="David" w:hAnsi="David" w:hint="cs"/>
                <w:sz w:val="26"/>
                <w:rtl/>
              </w:rPr>
              <w:t>בפסקה (2)</w:t>
            </w:r>
            <w:r w:rsidRPr="00567AC5">
              <w:rPr>
                <w:rFonts w:ascii="David" w:hAnsi="David" w:hint="cs"/>
                <w:sz w:val="26"/>
                <w:rtl/>
              </w:rPr>
              <w:t>, בלא הוכחת נזק."</w:t>
            </w:r>
          </w:p>
        </w:tc>
      </w:tr>
    </w:tbl>
    <w:p w14:paraId="25EAA8B0" w14:textId="77777777" w:rsidR="00AD19BE" w:rsidRDefault="00AD19BE" w:rsidP="00AD19BE">
      <w:pPr>
        <w:pStyle w:val="HeadDivreiHesber"/>
        <w:rPr>
          <w:rtl/>
        </w:rPr>
      </w:pPr>
      <w:r w:rsidRPr="0027450A">
        <w:rPr>
          <w:rFonts w:hint="cs"/>
          <w:rtl/>
        </w:rPr>
        <w:t>דברי הסבר</w:t>
      </w:r>
    </w:p>
    <w:p w14:paraId="365624B5" w14:textId="77777777" w:rsidR="00AD19BE" w:rsidRPr="00DF18A2" w:rsidRDefault="00AD19BE" w:rsidP="00AD19BE">
      <w:pPr>
        <w:pStyle w:val="HesberHeading"/>
        <w:rPr>
          <w:rtl/>
        </w:rPr>
      </w:pPr>
      <w:r w:rsidRPr="00DF18A2">
        <w:rPr>
          <w:rFonts w:hint="cs"/>
          <w:rtl/>
        </w:rPr>
        <w:t>כללי</w:t>
      </w:r>
    </w:p>
    <w:p w14:paraId="21CAF325" w14:textId="4585EAA7" w:rsidR="00AD19BE" w:rsidRPr="00DF18A2" w:rsidRDefault="00AD19BE" w:rsidP="00AD19BE">
      <w:pPr>
        <w:pStyle w:val="Hesber"/>
        <w:rPr>
          <w:rtl/>
        </w:rPr>
      </w:pPr>
      <w:r w:rsidRPr="00DF18A2">
        <w:rPr>
          <w:rFonts w:hint="cs"/>
          <w:rtl/>
        </w:rPr>
        <w:t>מחקרים ב</w:t>
      </w:r>
      <w:r w:rsidR="009D7F88">
        <w:rPr>
          <w:rFonts w:hint="cs"/>
          <w:rtl/>
        </w:rPr>
        <w:t>תחום הפסיכולוגיה של הילד מעידים</w:t>
      </w:r>
      <w:r w:rsidRPr="00DF18A2">
        <w:rPr>
          <w:rFonts w:hint="cs"/>
          <w:rtl/>
        </w:rPr>
        <w:t xml:space="preserve"> כי ילדים זקוקים לפרטיות לצורך התפתחותם התקינה ולגיבוש זהותם העצמית והעצמאית. </w:t>
      </w:r>
      <w:r>
        <w:rPr>
          <w:rFonts w:hint="cs"/>
          <w:rtl/>
        </w:rPr>
        <w:t>לעיתים,</w:t>
      </w:r>
      <w:r w:rsidRPr="00DF18A2">
        <w:rPr>
          <w:rFonts w:hint="cs"/>
          <w:rtl/>
        </w:rPr>
        <w:t xml:space="preserve"> ע</w:t>
      </w:r>
      <w:r w:rsidR="009D7F88">
        <w:rPr>
          <w:rFonts w:hint="cs"/>
          <w:rtl/>
        </w:rPr>
        <w:t>י</w:t>
      </w:r>
      <w:r w:rsidRPr="00DF18A2">
        <w:rPr>
          <w:rFonts w:hint="cs"/>
          <w:rtl/>
        </w:rPr>
        <w:t>קרון היסוד של הפרט</w:t>
      </w:r>
      <w:r>
        <w:rPr>
          <w:rFonts w:hint="cs"/>
          <w:rtl/>
        </w:rPr>
        <w:t xml:space="preserve">יות (הזכות "להיעזב לנפשך") </w:t>
      </w:r>
      <w:r w:rsidRPr="00DF18A2">
        <w:rPr>
          <w:rFonts w:hint="cs"/>
          <w:rtl/>
        </w:rPr>
        <w:t>הוא תנאי הכרחי לגדילתו של ילד.</w:t>
      </w:r>
    </w:p>
    <w:p w14:paraId="01DE9F8C" w14:textId="19D8F330" w:rsidR="00AD19BE" w:rsidRPr="00DF18A2" w:rsidRDefault="00AD19BE" w:rsidP="009D7F88">
      <w:pPr>
        <w:pStyle w:val="Hesber"/>
        <w:rPr>
          <w:rtl/>
        </w:rPr>
      </w:pPr>
      <w:r w:rsidRPr="00DF18A2">
        <w:rPr>
          <w:rFonts w:hint="cs"/>
          <w:rtl/>
        </w:rPr>
        <w:t>האינטרנט</w:t>
      </w:r>
      <w:r w:rsidRPr="00DF18A2">
        <w:rPr>
          <w:rtl/>
        </w:rPr>
        <w:t xml:space="preserve"> בכלל</w:t>
      </w:r>
      <w:r w:rsidRPr="00DF18A2">
        <w:rPr>
          <w:rFonts w:hint="cs"/>
          <w:rtl/>
        </w:rPr>
        <w:t>,</w:t>
      </w:r>
      <w:r w:rsidRPr="00DF18A2">
        <w:rPr>
          <w:rtl/>
        </w:rPr>
        <w:t xml:space="preserve"> והרשתות החברתיות בפרט</w:t>
      </w:r>
      <w:r w:rsidRPr="00DF18A2">
        <w:rPr>
          <w:rFonts w:hint="cs"/>
          <w:rtl/>
        </w:rPr>
        <w:t>,</w:t>
      </w:r>
      <w:r w:rsidRPr="00DF18A2">
        <w:rPr>
          <w:rtl/>
        </w:rPr>
        <w:t xml:space="preserve"> </w:t>
      </w:r>
      <w:r w:rsidR="00FD33F5">
        <w:rPr>
          <w:rFonts w:hint="cs"/>
          <w:rtl/>
        </w:rPr>
        <w:t>ה</w:t>
      </w:r>
      <w:r>
        <w:rPr>
          <w:rFonts w:hint="cs"/>
          <w:rtl/>
        </w:rPr>
        <w:t>ם</w:t>
      </w:r>
      <w:r w:rsidRPr="00DF18A2">
        <w:rPr>
          <w:rtl/>
        </w:rPr>
        <w:t xml:space="preserve"> חלק אינטגרלי ומרכזי בחייהם של ילדים ובני נוער</w:t>
      </w:r>
      <w:r w:rsidRPr="00DF18A2">
        <w:rPr>
          <w:rFonts w:hint="cs"/>
          <w:rtl/>
        </w:rPr>
        <w:t>. במקביל ליתרונות הרבים הנובעים כתוצאה משימוש של ילדים ובני</w:t>
      </w:r>
      <w:r w:rsidR="009D7F88">
        <w:rPr>
          <w:rFonts w:hint="cs"/>
          <w:rtl/>
        </w:rPr>
        <w:t xml:space="preserve"> </w:t>
      </w:r>
      <w:r w:rsidRPr="00DF18A2">
        <w:rPr>
          <w:rFonts w:hint="cs"/>
          <w:rtl/>
        </w:rPr>
        <w:t xml:space="preserve">נוער ברשת, שימוש זה טומן בחובו גם אתגרים וקשיים מסוגים שונים. </w:t>
      </w:r>
      <w:r>
        <w:rPr>
          <w:rFonts w:hint="cs"/>
          <w:rtl/>
        </w:rPr>
        <w:t>אחד ה</w:t>
      </w:r>
      <w:r w:rsidRPr="00DF18A2">
        <w:rPr>
          <w:rFonts w:hint="cs"/>
          <w:rtl/>
        </w:rPr>
        <w:t>אתגר</w:t>
      </w:r>
      <w:r>
        <w:rPr>
          <w:rFonts w:hint="cs"/>
          <w:rtl/>
        </w:rPr>
        <w:t>ים</w:t>
      </w:r>
      <w:r w:rsidRPr="00DF18A2">
        <w:rPr>
          <w:rFonts w:hint="cs"/>
          <w:rtl/>
        </w:rPr>
        <w:t xml:space="preserve"> </w:t>
      </w:r>
      <w:r>
        <w:rPr>
          <w:rFonts w:hint="cs"/>
          <w:rtl/>
        </w:rPr>
        <w:t>ה</w:t>
      </w:r>
      <w:r w:rsidRPr="00DF18A2">
        <w:rPr>
          <w:rFonts w:hint="cs"/>
          <w:rtl/>
        </w:rPr>
        <w:t>מרכז</w:t>
      </w:r>
      <w:r>
        <w:rPr>
          <w:rFonts w:hint="cs"/>
          <w:rtl/>
        </w:rPr>
        <w:t>י</w:t>
      </w:r>
      <w:r w:rsidRPr="00DF18A2">
        <w:rPr>
          <w:rFonts w:hint="cs"/>
          <w:rtl/>
        </w:rPr>
        <w:t>י</w:t>
      </w:r>
      <w:r>
        <w:rPr>
          <w:rFonts w:hint="cs"/>
          <w:rtl/>
        </w:rPr>
        <w:t>ם</w:t>
      </w:r>
      <w:r w:rsidRPr="00DF18A2">
        <w:rPr>
          <w:rFonts w:hint="cs"/>
          <w:rtl/>
        </w:rPr>
        <w:t xml:space="preserve"> נוגע לסוגיית השמירה על פרטיות ילדים ברשת ולהגנה על ילדים מפני פגיעות העשויות להתרחש כתוצאה מחשיפת מידע הנוגע אליהם ברשת. במקביל, מחקרים מעידים כי ילדים ובני נוער מבקשים פרטיות, לרבות ברשת. </w:t>
      </w:r>
    </w:p>
    <w:p w14:paraId="549B6DD0" w14:textId="452C4D4B" w:rsidR="00AD19BE" w:rsidRPr="00DF18A2" w:rsidRDefault="00AD19BE" w:rsidP="009D7F88">
      <w:pPr>
        <w:pStyle w:val="Hesber"/>
        <w:rPr>
          <w:rtl/>
        </w:rPr>
      </w:pPr>
      <w:r w:rsidRPr="00DF18A2">
        <w:rPr>
          <w:rFonts w:hint="cs"/>
          <w:rtl/>
        </w:rPr>
        <w:t>מנגד, ילדי</w:t>
      </w:r>
      <w:r>
        <w:rPr>
          <w:rFonts w:hint="cs"/>
          <w:rtl/>
        </w:rPr>
        <w:t xml:space="preserve">ם (בעיקר בגילאים צעירים) נחשבים, ככלל, </w:t>
      </w:r>
      <w:r w:rsidRPr="00DF18A2">
        <w:rPr>
          <w:rFonts w:hint="cs"/>
          <w:rtl/>
        </w:rPr>
        <w:t>ככאלו שאין בידם את היכולת הקוגניטיבית והנפשית להבין את מורכבות והיקף השימוש במידע בר</w:t>
      </w:r>
      <w:r w:rsidR="009D7F88">
        <w:rPr>
          <w:rFonts w:hint="cs"/>
          <w:rtl/>
        </w:rPr>
        <w:t>שת</w:t>
      </w:r>
      <w:r w:rsidRPr="00DF18A2">
        <w:rPr>
          <w:rFonts w:hint="cs"/>
          <w:rtl/>
        </w:rPr>
        <w:t xml:space="preserve"> ולהתמודד עם הסכנות הקיימות ברשת. במסגרת </w:t>
      </w:r>
      <w:r>
        <w:rPr>
          <w:rFonts w:hint="cs"/>
          <w:rtl/>
        </w:rPr>
        <w:t>ה</w:t>
      </w:r>
      <w:r w:rsidRPr="00DF18A2">
        <w:rPr>
          <w:rFonts w:hint="cs"/>
          <w:rtl/>
        </w:rPr>
        <w:t>שימוש</w:t>
      </w:r>
      <w:r>
        <w:rPr>
          <w:rFonts w:hint="cs"/>
          <w:rtl/>
        </w:rPr>
        <w:t xml:space="preserve"> </w:t>
      </w:r>
      <w:r w:rsidRPr="00DF18A2">
        <w:rPr>
          <w:rFonts w:hint="cs"/>
          <w:rtl/>
        </w:rPr>
        <w:t xml:space="preserve">ברשתות </w:t>
      </w:r>
      <w:r>
        <w:rPr>
          <w:rFonts w:hint="cs"/>
          <w:rtl/>
        </w:rPr>
        <w:t>ה</w:t>
      </w:r>
      <w:r w:rsidRPr="00DF18A2">
        <w:rPr>
          <w:rFonts w:hint="cs"/>
          <w:rtl/>
        </w:rPr>
        <w:t>חברתיות נוטים ילדים ובני</w:t>
      </w:r>
      <w:r w:rsidR="009D7F88">
        <w:rPr>
          <w:rFonts w:hint="cs"/>
          <w:rtl/>
        </w:rPr>
        <w:t xml:space="preserve"> </w:t>
      </w:r>
      <w:r w:rsidRPr="00DF18A2">
        <w:rPr>
          <w:rFonts w:hint="cs"/>
          <w:rtl/>
        </w:rPr>
        <w:t xml:space="preserve">נוער לחשוף מידע אישי רב באופן </w:t>
      </w:r>
      <w:r>
        <w:rPr>
          <w:rFonts w:hint="cs"/>
          <w:rtl/>
        </w:rPr>
        <w:t>ש</w:t>
      </w:r>
      <w:r w:rsidRPr="00DF18A2">
        <w:rPr>
          <w:rFonts w:hint="cs"/>
          <w:rtl/>
        </w:rPr>
        <w:t xml:space="preserve">עלול לחשוף אותם </w:t>
      </w:r>
      <w:r w:rsidR="00FD33F5">
        <w:rPr>
          <w:rFonts w:hint="cs"/>
          <w:rtl/>
        </w:rPr>
        <w:t>לסכנות</w:t>
      </w:r>
      <w:r w:rsidRPr="00DF18A2">
        <w:rPr>
          <w:rFonts w:hint="cs"/>
          <w:rtl/>
        </w:rPr>
        <w:t xml:space="preserve"> </w:t>
      </w:r>
      <w:r w:rsidR="00FD33F5">
        <w:rPr>
          <w:rFonts w:hint="cs"/>
          <w:rtl/>
        </w:rPr>
        <w:t>של</w:t>
      </w:r>
      <w:r w:rsidRPr="00DF18A2">
        <w:rPr>
          <w:rFonts w:hint="cs"/>
          <w:rtl/>
        </w:rPr>
        <w:t xml:space="preserve"> </w:t>
      </w:r>
      <w:r w:rsidRPr="00DF18A2">
        <w:rPr>
          <w:rtl/>
        </w:rPr>
        <w:t>פדופיליה</w:t>
      </w:r>
      <w:r w:rsidRPr="00DF18A2">
        <w:rPr>
          <w:rFonts w:hint="cs"/>
          <w:rtl/>
        </w:rPr>
        <w:t>, גניבת זהות</w:t>
      </w:r>
      <w:r w:rsidRPr="00DF18A2">
        <w:rPr>
          <w:rtl/>
        </w:rPr>
        <w:t xml:space="preserve"> ו</w:t>
      </w:r>
      <w:r w:rsidRPr="00DF18A2">
        <w:rPr>
          <w:rFonts w:hint="cs"/>
          <w:rtl/>
        </w:rPr>
        <w:t>ב</w:t>
      </w:r>
      <w:r w:rsidRPr="00DF18A2">
        <w:rPr>
          <w:rtl/>
        </w:rPr>
        <w:t>ריונות רשת (</w:t>
      </w:r>
      <w:r w:rsidRPr="00DF18A2">
        <w:t>cyberbullying</w:t>
      </w:r>
      <w:r w:rsidRPr="00DF18A2">
        <w:rPr>
          <w:rFonts w:hint="cs"/>
          <w:rtl/>
        </w:rPr>
        <w:t>), וכן לשימוש מניפולטיבי במידע לצורך השפעה על הרגלי הצריכה שלהם ו</w:t>
      </w:r>
      <w:r>
        <w:rPr>
          <w:rFonts w:hint="cs"/>
          <w:rtl/>
        </w:rPr>
        <w:t xml:space="preserve">על </w:t>
      </w:r>
      <w:r w:rsidRPr="00DF18A2">
        <w:rPr>
          <w:rFonts w:hint="cs"/>
          <w:rtl/>
        </w:rPr>
        <w:t>דעותיהם.</w:t>
      </w:r>
    </w:p>
    <w:p w14:paraId="69D0A7FE" w14:textId="77777777" w:rsidR="00AD19BE" w:rsidRPr="00DF18A2" w:rsidRDefault="00AD19BE" w:rsidP="00AD19BE">
      <w:pPr>
        <w:pStyle w:val="Hesber"/>
        <w:rPr>
          <w:rtl/>
        </w:rPr>
      </w:pPr>
      <w:r w:rsidRPr="00DF18A2">
        <w:rPr>
          <w:rFonts w:hint="cs"/>
          <w:rtl/>
        </w:rPr>
        <w:t>החקיקה והוראות הדין בישראל אינן כוללות התייחסות ייחודית לסוגי</w:t>
      </w:r>
      <w:r>
        <w:rPr>
          <w:rFonts w:hint="cs"/>
          <w:rtl/>
        </w:rPr>
        <w:t>י</w:t>
      </w:r>
      <w:r w:rsidRPr="00DF18A2">
        <w:rPr>
          <w:rFonts w:hint="cs"/>
          <w:rtl/>
        </w:rPr>
        <w:t xml:space="preserve">ת ההגנה </w:t>
      </w:r>
      <w:r>
        <w:rPr>
          <w:rFonts w:hint="cs"/>
          <w:rtl/>
        </w:rPr>
        <w:t>של</w:t>
      </w:r>
      <w:r w:rsidRPr="00DF18A2">
        <w:rPr>
          <w:rFonts w:hint="cs"/>
          <w:rtl/>
        </w:rPr>
        <w:t xml:space="preserve"> פרטיות ברשת</w:t>
      </w:r>
      <w:r>
        <w:rPr>
          <w:rFonts w:hint="cs"/>
          <w:rtl/>
        </w:rPr>
        <w:t xml:space="preserve"> ביחס ל</w:t>
      </w:r>
      <w:r w:rsidRPr="00DF18A2">
        <w:rPr>
          <w:rFonts w:hint="cs"/>
          <w:rtl/>
        </w:rPr>
        <w:t xml:space="preserve">קטינים. בניגוד למצב בישראל, סוגיה זו מוסדרת בצורות שונות במרבית שיטות המשפט הזרות, באופן המעניק למידע הנוגע לקטינים הגנה משמעותיות יותר מזו הניתנת לבגירים. </w:t>
      </w:r>
    </w:p>
    <w:p w14:paraId="04C9AD8B" w14:textId="3AE67CEC" w:rsidR="00AD19BE" w:rsidRPr="00DF18A2" w:rsidRDefault="00AD19BE" w:rsidP="007229EC">
      <w:pPr>
        <w:pStyle w:val="Hesber"/>
        <w:rPr>
          <w:rtl/>
        </w:rPr>
      </w:pPr>
      <w:r w:rsidRPr="00DF18A2">
        <w:rPr>
          <w:rFonts w:hint="cs"/>
          <w:rtl/>
        </w:rPr>
        <w:t xml:space="preserve">הצעה זו מבוססת על מחקר מעמיק </w:t>
      </w:r>
      <w:r w:rsidR="009D7F88">
        <w:rPr>
          <w:rFonts w:hint="cs"/>
          <w:rtl/>
        </w:rPr>
        <w:t>(</w:t>
      </w:r>
      <w:r w:rsidR="009D7F88">
        <w:rPr>
          <w:rFonts w:hint="cs"/>
          <w:color w:val="auto"/>
          <w:rtl/>
        </w:rPr>
        <w:t>"</w:t>
      </w:r>
      <w:r w:rsidR="009D7F88" w:rsidRPr="009D7F88">
        <w:rPr>
          <w:color w:val="auto"/>
          <w:rtl/>
        </w:rPr>
        <w:t>פרטיות ילדים בעידן האינטרנט</w:t>
      </w:r>
      <w:r w:rsidR="009D7F88">
        <w:rPr>
          <w:rFonts w:hint="cs"/>
          <w:color w:val="auto"/>
          <w:rtl/>
        </w:rPr>
        <w:t>"</w:t>
      </w:r>
      <w:r w:rsidR="009D7F88" w:rsidRPr="009D7F88">
        <w:rPr>
          <w:color w:val="auto"/>
          <w:rtl/>
        </w:rPr>
        <w:t xml:space="preserve"> עו"ד סאני כלב</w:t>
      </w:r>
      <w:r w:rsidR="009D7F88">
        <w:rPr>
          <w:rFonts w:hint="cs"/>
          <w:color w:val="auto"/>
          <w:rtl/>
        </w:rPr>
        <w:t xml:space="preserve">, </w:t>
      </w:r>
      <w:r w:rsidR="007229EC" w:rsidRPr="007229EC">
        <w:rPr>
          <w:color w:val="auto"/>
          <w:rtl/>
        </w:rPr>
        <w:t>הועד המנהל של איגוד האינטרנט הישראלי</w:t>
      </w:r>
      <w:r w:rsidR="007229EC">
        <w:rPr>
          <w:rFonts w:hint="cs"/>
          <w:color w:val="auto"/>
          <w:rtl/>
        </w:rPr>
        <w:t>,</w:t>
      </w:r>
      <w:r w:rsidR="007229EC" w:rsidRPr="007229EC">
        <w:rPr>
          <w:color w:val="auto"/>
          <w:rtl/>
        </w:rPr>
        <w:t xml:space="preserve"> </w:t>
      </w:r>
      <w:r w:rsidR="009D7F88">
        <w:rPr>
          <w:rFonts w:hint="cs"/>
          <w:color w:val="auto"/>
          <w:rtl/>
        </w:rPr>
        <w:t xml:space="preserve">אוקטובר 2016) </w:t>
      </w:r>
      <w:r w:rsidRPr="00DF18A2">
        <w:rPr>
          <w:rFonts w:hint="cs"/>
          <w:color w:val="auto"/>
          <w:rtl/>
        </w:rPr>
        <w:t xml:space="preserve">ממנו </w:t>
      </w:r>
      <w:r w:rsidRPr="00DF18A2">
        <w:rPr>
          <w:rFonts w:hint="cs"/>
          <w:rtl/>
        </w:rPr>
        <w:t>ע</w:t>
      </w:r>
      <w:r>
        <w:rPr>
          <w:rFonts w:hint="cs"/>
          <w:rtl/>
        </w:rPr>
        <w:t>ו</w:t>
      </w:r>
      <w:r w:rsidRPr="00DF18A2">
        <w:rPr>
          <w:rFonts w:hint="cs"/>
          <w:rtl/>
        </w:rPr>
        <w:t>לה כי ה</w:t>
      </w:r>
      <w:r>
        <w:rPr>
          <w:rFonts w:hint="cs"/>
          <w:rtl/>
        </w:rPr>
        <w:t>סדרת הנושא חייבת ל</w:t>
      </w:r>
      <w:r w:rsidRPr="00DF18A2">
        <w:rPr>
          <w:rFonts w:hint="cs"/>
          <w:rtl/>
        </w:rPr>
        <w:t xml:space="preserve">בטא הכרה בזכותם לפרטיות של ילדים ובזכותם לשלוט במידע הנוגע אליהם, תוך כינונן של רשתות הגנה המכירות בסיכונים הקיימים ברשת ובמגבלות הטבעיות של ילדים, באופן </w:t>
      </w:r>
      <w:r w:rsidR="007229EC">
        <w:rPr>
          <w:rFonts w:hint="cs"/>
          <w:rtl/>
        </w:rPr>
        <w:t>ש</w:t>
      </w:r>
      <w:r w:rsidRPr="00DF18A2">
        <w:rPr>
          <w:rFonts w:hint="cs"/>
          <w:rtl/>
        </w:rPr>
        <w:t>יגן על ילדים מפני פגיעות קשות ובלתי הכרחיות בפרטיותם ובחייהם.</w:t>
      </w:r>
    </w:p>
    <w:p w14:paraId="4813610C" w14:textId="7361196E" w:rsidR="00AD19BE" w:rsidRPr="00DF18A2" w:rsidRDefault="00AD19BE" w:rsidP="007229EC">
      <w:pPr>
        <w:pStyle w:val="Hesber"/>
        <w:rPr>
          <w:rtl/>
        </w:rPr>
      </w:pPr>
      <w:r>
        <w:rPr>
          <w:rFonts w:hint="cs"/>
          <w:rtl/>
        </w:rPr>
        <w:t>כל האמור מחייב הכרה בזכות</w:t>
      </w:r>
      <w:r w:rsidRPr="00DF18A2">
        <w:rPr>
          <w:rFonts w:hint="cs"/>
          <w:rtl/>
        </w:rPr>
        <w:t xml:space="preserve"> לפרטיות של ילדים </w:t>
      </w:r>
      <w:r w:rsidRPr="00DF18A2">
        <w:rPr>
          <w:rtl/>
        </w:rPr>
        <w:t>–</w:t>
      </w:r>
      <w:r w:rsidRPr="00DF18A2">
        <w:rPr>
          <w:rFonts w:hint="cs"/>
          <w:rtl/>
        </w:rPr>
        <w:t xml:space="preserve"> הן מצד הורי הילדים והן מצד המדינה, שחובתה לאפשר לילדים להביא זכות זו לידי ביטוי, ויש לע</w:t>
      </w:r>
      <w:r w:rsidR="007229EC">
        <w:rPr>
          <w:rFonts w:hint="cs"/>
          <w:rtl/>
        </w:rPr>
        <w:t>גן אותה במסגרת חוק הגנת הפרטיות, התשמ"א</w:t>
      </w:r>
      <w:r w:rsidR="007229EC">
        <w:rPr>
          <w:rtl/>
        </w:rPr>
        <w:t>–</w:t>
      </w:r>
      <w:r w:rsidR="007229EC">
        <w:rPr>
          <w:rFonts w:hint="cs"/>
          <w:rtl/>
        </w:rPr>
        <w:t xml:space="preserve">1981 (להלן </w:t>
      </w:r>
      <w:r w:rsidR="007229EC">
        <w:rPr>
          <w:rtl/>
        </w:rPr>
        <w:t>–</w:t>
      </w:r>
      <w:r w:rsidR="007229EC">
        <w:rPr>
          <w:rFonts w:hint="cs"/>
          <w:rtl/>
        </w:rPr>
        <w:t xml:space="preserve"> החוק).</w:t>
      </w:r>
    </w:p>
    <w:p w14:paraId="2A7EE200" w14:textId="24B83433" w:rsidR="00AD19BE" w:rsidRPr="00567AC5" w:rsidRDefault="00AD19BE" w:rsidP="00AD19BE">
      <w:pPr>
        <w:pStyle w:val="HesberHeading"/>
        <w:rPr>
          <w:rtl/>
        </w:rPr>
      </w:pPr>
      <w:r w:rsidRPr="00567AC5">
        <w:rPr>
          <w:rFonts w:hint="cs"/>
          <w:rtl/>
        </w:rPr>
        <w:t xml:space="preserve">סעיף </w:t>
      </w:r>
      <w:r>
        <w:rPr>
          <w:rFonts w:hint="cs"/>
          <w:rtl/>
        </w:rPr>
        <w:t>1א</w:t>
      </w:r>
      <w:r w:rsidR="007229EC">
        <w:rPr>
          <w:rFonts w:hint="cs"/>
          <w:rtl/>
        </w:rPr>
        <w:t xml:space="preserve"> המוצע</w:t>
      </w:r>
      <w:r>
        <w:rPr>
          <w:rFonts w:hint="cs"/>
          <w:rtl/>
        </w:rPr>
        <w:t xml:space="preserve"> </w:t>
      </w:r>
      <w:r w:rsidRPr="00567AC5">
        <w:rPr>
          <w:rFonts w:hint="cs"/>
          <w:rtl/>
        </w:rPr>
        <w:t>ו</w:t>
      </w:r>
      <w:r w:rsidR="007229EC">
        <w:rPr>
          <w:rFonts w:hint="cs"/>
          <w:rtl/>
        </w:rPr>
        <w:t xml:space="preserve">תיקון </w:t>
      </w:r>
      <w:r w:rsidRPr="00567AC5">
        <w:rPr>
          <w:rFonts w:hint="cs"/>
          <w:rtl/>
        </w:rPr>
        <w:t>סעיף 3 לחוק</w:t>
      </w:r>
    </w:p>
    <w:p w14:paraId="60B0EF44" w14:textId="3AD3BB12" w:rsidR="00AD19BE" w:rsidRPr="00DF18A2" w:rsidRDefault="00AD19BE" w:rsidP="00FD33F5">
      <w:pPr>
        <w:pStyle w:val="Hesber"/>
        <w:rPr>
          <w:rtl/>
        </w:rPr>
      </w:pPr>
      <w:r w:rsidRPr="00DF18A2">
        <w:rPr>
          <w:rFonts w:hint="cs"/>
          <w:rtl/>
        </w:rPr>
        <w:lastRenderedPageBreak/>
        <w:t xml:space="preserve">מוצע להוסיף סעיף הצהרתי בפרק א' לחוק לפיו הזכות לפרטיות </w:t>
      </w:r>
      <w:r w:rsidR="00FD33F5">
        <w:rPr>
          <w:rFonts w:hint="cs"/>
          <w:rtl/>
        </w:rPr>
        <w:t>היא</w:t>
      </w:r>
      <w:r w:rsidRPr="00DF18A2">
        <w:rPr>
          <w:rFonts w:hint="cs"/>
          <w:rtl/>
        </w:rPr>
        <w:t xml:space="preserve"> זכות העומדת במפורש ובאופן מיוחד לקטינים, וכי פרטיותם של קטינים </w:t>
      </w:r>
      <w:r>
        <w:rPr>
          <w:rFonts w:hint="cs"/>
          <w:rtl/>
        </w:rPr>
        <w:t xml:space="preserve">תהא </w:t>
      </w:r>
      <w:r w:rsidRPr="00DF18A2">
        <w:rPr>
          <w:rFonts w:hint="cs"/>
          <w:rtl/>
        </w:rPr>
        <w:t>זכאית להתייחסות ייחודית ולהגנה משמעותית. מטרתו של סעיף זה לקבוע ערכית כי פרטיותם של קטינים זקוקה להגנה חזקה יותר מזו של בגירים, אשר לעיתים מוותרים עליה תמורת הטבות שונות. השינוי המוצע מבהיר גם להורים או לאפוטרופוס</w:t>
      </w:r>
      <w:r w:rsidR="00FD33F5">
        <w:rPr>
          <w:rFonts w:hint="cs"/>
          <w:rtl/>
        </w:rPr>
        <w:t xml:space="preserve"> כי </w:t>
      </w:r>
      <w:r>
        <w:rPr>
          <w:rFonts w:hint="cs"/>
          <w:rtl/>
        </w:rPr>
        <w:t>ויתור על פרטיות</w:t>
      </w:r>
      <w:r w:rsidRPr="00DF18A2">
        <w:rPr>
          <w:rFonts w:hint="cs"/>
          <w:rtl/>
        </w:rPr>
        <w:t xml:space="preserve"> של ילד יכול לה</w:t>
      </w:r>
      <w:r>
        <w:rPr>
          <w:rFonts w:hint="cs"/>
          <w:rtl/>
        </w:rPr>
        <w:t>י</w:t>
      </w:r>
      <w:r w:rsidRPr="00DF18A2">
        <w:rPr>
          <w:rFonts w:hint="cs"/>
          <w:rtl/>
        </w:rPr>
        <w:t xml:space="preserve">עשות </w:t>
      </w:r>
      <w:r>
        <w:rPr>
          <w:rFonts w:hint="cs"/>
          <w:rtl/>
        </w:rPr>
        <w:t>על פי דין</w:t>
      </w:r>
      <w:r w:rsidRPr="00DF18A2">
        <w:rPr>
          <w:rFonts w:hint="cs"/>
          <w:rtl/>
        </w:rPr>
        <w:t xml:space="preserve"> בלבד, וחובה עליהם לשקול זאת.</w:t>
      </w:r>
    </w:p>
    <w:p w14:paraId="7ED7F8AA" w14:textId="77777777" w:rsidR="00AD19BE" w:rsidRPr="00DF18A2" w:rsidRDefault="00AD19BE" w:rsidP="00AD19BE">
      <w:pPr>
        <w:pStyle w:val="Hesber"/>
        <w:rPr>
          <w:rtl/>
        </w:rPr>
      </w:pPr>
      <w:r w:rsidRPr="00DF18A2">
        <w:rPr>
          <w:rFonts w:hint="cs"/>
          <w:rtl/>
        </w:rPr>
        <w:t xml:space="preserve">בנוסף, </w:t>
      </w:r>
      <w:r>
        <w:rPr>
          <w:rFonts w:hint="cs"/>
          <w:rtl/>
        </w:rPr>
        <w:t>מוצע להוסיף</w:t>
      </w:r>
      <w:r w:rsidRPr="00DF18A2">
        <w:rPr>
          <w:rFonts w:hint="cs"/>
          <w:rtl/>
        </w:rPr>
        <w:t xml:space="preserve"> הגדרה של </w:t>
      </w:r>
      <w:r>
        <w:rPr>
          <w:rFonts w:hint="cs"/>
          <w:rtl/>
        </w:rPr>
        <w:t>המונח</w:t>
      </w:r>
      <w:r w:rsidRPr="00DF18A2">
        <w:rPr>
          <w:rFonts w:hint="cs"/>
          <w:rtl/>
        </w:rPr>
        <w:t xml:space="preserve"> קטין לרשימת ההגדרות בסעיף 3.</w:t>
      </w:r>
    </w:p>
    <w:p w14:paraId="3E6B805A" w14:textId="77777777" w:rsidR="00AD19BE" w:rsidRPr="002F34E3" w:rsidRDefault="00AD19BE" w:rsidP="00AD19BE">
      <w:pPr>
        <w:pStyle w:val="Hesber"/>
        <w:ind w:firstLine="0"/>
        <w:rPr>
          <w:b/>
          <w:bCs/>
          <w:rtl/>
        </w:rPr>
      </w:pPr>
      <w:r w:rsidRPr="002F34E3">
        <w:rPr>
          <w:rFonts w:hint="cs"/>
          <w:b/>
          <w:bCs/>
          <w:rtl/>
        </w:rPr>
        <w:t>תיקון סעיפים 5 ו-29א לחוק</w:t>
      </w:r>
    </w:p>
    <w:p w14:paraId="3D27DA6E" w14:textId="46D5A24A" w:rsidR="00AD19BE" w:rsidRPr="00DF18A2" w:rsidRDefault="00AD19BE" w:rsidP="00FD33F5">
      <w:pPr>
        <w:pStyle w:val="Hesber"/>
        <w:rPr>
          <w:rtl/>
        </w:rPr>
      </w:pPr>
      <w:r w:rsidRPr="00DF18A2">
        <w:rPr>
          <w:rFonts w:hint="cs"/>
          <w:rtl/>
        </w:rPr>
        <w:t>על מנת לתת תוקף להגנת היתר שיש להעניק לפרטיות של קט</w:t>
      </w:r>
      <w:r>
        <w:rPr>
          <w:rFonts w:hint="cs"/>
          <w:rtl/>
        </w:rPr>
        <w:t>ינים ביחס לבגירים, מוצע להחמיר את ה</w:t>
      </w:r>
      <w:r w:rsidRPr="00DF18A2">
        <w:rPr>
          <w:rFonts w:hint="cs"/>
          <w:rtl/>
        </w:rPr>
        <w:t>סנקציות</w:t>
      </w:r>
      <w:r w:rsidR="00FD33F5">
        <w:rPr>
          <w:rFonts w:hint="cs"/>
          <w:rtl/>
        </w:rPr>
        <w:t xml:space="preserve"> המוטלות</w:t>
      </w:r>
      <w:r w:rsidRPr="00DF18A2">
        <w:rPr>
          <w:rFonts w:hint="cs"/>
          <w:rtl/>
        </w:rPr>
        <w:t xml:space="preserve">, הן בהליך הפלילי והן בהליך האזרחי, בגין פגיעה בפרטיות קטין </w:t>
      </w:r>
      <w:r w:rsidR="00FD33F5">
        <w:rPr>
          <w:rFonts w:hint="cs"/>
          <w:rtl/>
        </w:rPr>
        <w:t>ביחס לסנקציות המוטלות בגין ה</w:t>
      </w:r>
      <w:r w:rsidRPr="00DF18A2">
        <w:rPr>
          <w:rFonts w:hint="cs"/>
          <w:rtl/>
        </w:rPr>
        <w:t>פגיעה בפרטיותו של בגיר.</w:t>
      </w:r>
    </w:p>
    <w:p w14:paraId="3CF390B8" w14:textId="531C04C3" w:rsidR="00AD19BE" w:rsidRPr="00DF18A2" w:rsidRDefault="00AD19BE" w:rsidP="00AD19BE">
      <w:pPr>
        <w:pStyle w:val="HesberHeading"/>
        <w:rPr>
          <w:rtl/>
        </w:rPr>
      </w:pPr>
      <w:r w:rsidRPr="00DF18A2">
        <w:rPr>
          <w:rFonts w:hint="cs"/>
          <w:rtl/>
        </w:rPr>
        <w:t>סעיף 11א</w:t>
      </w:r>
      <w:r w:rsidR="007229EC">
        <w:rPr>
          <w:rFonts w:hint="cs"/>
          <w:rtl/>
        </w:rPr>
        <w:t xml:space="preserve"> המוצע</w:t>
      </w:r>
    </w:p>
    <w:p w14:paraId="6703A5C1" w14:textId="77777777" w:rsidR="00AD19BE" w:rsidRPr="00DF18A2" w:rsidRDefault="00AD19BE" w:rsidP="00AD19BE">
      <w:pPr>
        <w:pStyle w:val="Hesber"/>
        <w:rPr>
          <w:rtl/>
        </w:rPr>
      </w:pPr>
      <w:r w:rsidRPr="00DF18A2">
        <w:rPr>
          <w:rFonts w:hint="cs"/>
          <w:rtl/>
        </w:rPr>
        <w:t xml:space="preserve">מידע על אודות ילדים נחשב לבעל ערך רב. ככלל, ילדים אינם מודעים לסיכונים ולהשלכות של השימוש שנעשה במידע הנוגע אליהם, וזאת במיוחד כשמדובר במידע אישי שנאסף לצורכי פרסום או במסגרת שירותים הפונים לילדים. גם הורים </w:t>
      </w:r>
      <w:r w:rsidRPr="00DF18A2">
        <w:rPr>
          <w:rtl/>
        </w:rPr>
        <w:t>–</w:t>
      </w:r>
      <w:r w:rsidRPr="00DF18A2">
        <w:rPr>
          <w:rFonts w:hint="cs"/>
          <w:rtl/>
        </w:rPr>
        <w:t xml:space="preserve"> האמונים על </w:t>
      </w:r>
      <w:r>
        <w:rPr>
          <w:rFonts w:hint="cs"/>
          <w:rtl/>
        </w:rPr>
        <w:t>ה</w:t>
      </w:r>
      <w:r w:rsidRPr="00DF18A2">
        <w:rPr>
          <w:rFonts w:hint="cs"/>
          <w:rtl/>
        </w:rPr>
        <w:t xml:space="preserve">שמירה על זכויות ילדיהם </w:t>
      </w:r>
      <w:r w:rsidRPr="00DF18A2">
        <w:rPr>
          <w:rtl/>
        </w:rPr>
        <w:t>–</w:t>
      </w:r>
      <w:r w:rsidRPr="00DF18A2">
        <w:rPr>
          <w:rFonts w:hint="cs"/>
          <w:rtl/>
        </w:rPr>
        <w:t xml:space="preserve"> </w:t>
      </w:r>
      <w:r>
        <w:rPr>
          <w:rFonts w:hint="cs"/>
          <w:rtl/>
        </w:rPr>
        <w:t>לא</w:t>
      </w:r>
      <w:r w:rsidRPr="00DF18A2">
        <w:rPr>
          <w:rFonts w:hint="cs"/>
          <w:rtl/>
        </w:rPr>
        <w:t xml:space="preserve"> מ</w:t>
      </w:r>
      <w:r>
        <w:rPr>
          <w:rFonts w:hint="cs"/>
          <w:rtl/>
        </w:rPr>
        <w:t>גי</w:t>
      </w:r>
      <w:r w:rsidRPr="00DF18A2">
        <w:rPr>
          <w:rFonts w:hint="cs"/>
          <w:rtl/>
        </w:rPr>
        <w:t>נ</w:t>
      </w:r>
      <w:r>
        <w:rPr>
          <w:rFonts w:hint="cs"/>
          <w:rtl/>
        </w:rPr>
        <w:t>י</w:t>
      </w:r>
      <w:r w:rsidRPr="00DF18A2">
        <w:rPr>
          <w:rFonts w:hint="cs"/>
          <w:rtl/>
        </w:rPr>
        <w:t xml:space="preserve">ם על פרטיות ילדיהם בצורה מספקת. </w:t>
      </w:r>
    </w:p>
    <w:p w14:paraId="11FABED3" w14:textId="77777777" w:rsidR="00AD19BE" w:rsidRPr="00DF18A2" w:rsidRDefault="00AD19BE" w:rsidP="00AD19BE">
      <w:pPr>
        <w:pStyle w:val="Hesber"/>
        <w:rPr>
          <w:rtl/>
        </w:rPr>
      </w:pPr>
      <w:r w:rsidRPr="00DF18A2">
        <w:rPr>
          <w:rFonts w:hint="cs"/>
          <w:rtl/>
        </w:rPr>
        <w:t xml:space="preserve">גורמים רבים אוספים מידע על אודות ילדים ברשת כחלק </w:t>
      </w:r>
      <w:r>
        <w:rPr>
          <w:rFonts w:hint="cs"/>
          <w:rtl/>
        </w:rPr>
        <w:t>מ</w:t>
      </w:r>
      <w:r w:rsidRPr="00DF18A2">
        <w:rPr>
          <w:rFonts w:hint="cs"/>
          <w:rtl/>
        </w:rPr>
        <w:t>השימוש השוטף של הילדים ברשת, במשחקים, באפליקציות, ברשתות חברתיות ועוד. מסמכי המדיניות של גופים אלה, במידה וקיימים, מנוסחים לא פעם בצורה המקשה על הפרט להבין את ההשלכות של הסכמתו לשימוש במידע הנוגע אליו. הדבר נכון שבעתיים שמדובר בילדים. לפיכך, יש לחייב גורמים האוספים מידע אודות ילדים ברשת לנסח מסמכי מדיניות פרטיות באופן המסביר את אופן פעילותם ואת הסיכונים העלולים להיגרם במסגרת פעילות זו ולבקש הסכמה לאיסוף ושימוש במידע על אודות ילדים. מסמכי הפרטיות ובקשת ההסכמה המיועדים לקהל של ילדים, ינוסחו בשפה בהירה ופשוטה המתאימה לגיל קהל היעד, לרבות שימוש בציורים</w:t>
      </w:r>
      <w:r>
        <w:rPr>
          <w:rFonts w:hint="cs"/>
          <w:rtl/>
        </w:rPr>
        <w:t xml:space="preserve"> והמחשות</w:t>
      </w:r>
      <w:r w:rsidRPr="00DF18A2">
        <w:rPr>
          <w:rFonts w:hint="cs"/>
          <w:rtl/>
        </w:rPr>
        <w:t xml:space="preserve">. </w:t>
      </w:r>
    </w:p>
    <w:p w14:paraId="5B7752BB" w14:textId="77777777" w:rsidR="00AD19BE" w:rsidRPr="00DF18A2" w:rsidRDefault="00AD19BE" w:rsidP="00AD19BE">
      <w:pPr>
        <w:pStyle w:val="Hesber"/>
        <w:rPr>
          <w:rtl/>
        </w:rPr>
      </w:pPr>
      <w:r w:rsidRPr="00DF18A2">
        <w:rPr>
          <w:rFonts w:hint="cs"/>
          <w:rtl/>
        </w:rPr>
        <w:t>עוד מוצע כי במסגרת הליך קבלת ההסכמה יחויבו גורמים האוספים מידע אודות ילדים ברשת</w:t>
      </w:r>
      <w:r>
        <w:rPr>
          <w:rFonts w:hint="cs"/>
          <w:rtl/>
        </w:rPr>
        <w:t>,</w:t>
      </w:r>
      <w:r w:rsidRPr="00DF18A2">
        <w:rPr>
          <w:rFonts w:hint="cs"/>
          <w:rtl/>
        </w:rPr>
        <w:t xml:space="preserve"> לפרסם אזהרה קצרה ונקודתית בדבר השימוש הצפוי במידע הנאסף על ידם ובדבר ההשלכות של מתן ההסכמה. זאת, </w:t>
      </w:r>
      <w:r w:rsidRPr="00DF18A2">
        <w:rPr>
          <w:rtl/>
        </w:rPr>
        <w:t xml:space="preserve">בדומה לחובה </w:t>
      </w:r>
      <w:r w:rsidRPr="00DF18A2">
        <w:rPr>
          <w:rFonts w:hint="cs"/>
          <w:rtl/>
        </w:rPr>
        <w:t xml:space="preserve">המשפטית </w:t>
      </w:r>
      <w:r w:rsidRPr="00DF18A2">
        <w:rPr>
          <w:rtl/>
        </w:rPr>
        <w:t>המוטלת על היצרנים והיבואנים ש</w:t>
      </w:r>
      <w:r>
        <w:rPr>
          <w:rtl/>
        </w:rPr>
        <w:t>ל מוצרי הטבק בישראל להטביע אזהרת בריאות על גבי אריזת מוצר המשווק</w:t>
      </w:r>
      <w:r>
        <w:rPr>
          <w:rFonts w:hint="cs"/>
          <w:rtl/>
        </w:rPr>
        <w:t xml:space="preserve"> </w:t>
      </w:r>
      <w:r w:rsidRPr="00DF18A2">
        <w:rPr>
          <w:rtl/>
        </w:rPr>
        <w:t>באר</w:t>
      </w:r>
      <w:r>
        <w:rPr>
          <w:rFonts w:hint="cs"/>
          <w:rtl/>
        </w:rPr>
        <w:t>ץ (סעיפים 7 ו-9 ל</w:t>
      </w:r>
      <w:r>
        <w:rPr>
          <w:rtl/>
        </w:rPr>
        <w:t>חוק הגבלת הפרסומ</w:t>
      </w:r>
      <w:r w:rsidRPr="00D631A9">
        <w:rPr>
          <w:rtl/>
        </w:rPr>
        <w:t>ת והשיווק של מוצרי טבק, התשמ"ג</w:t>
      </w:r>
      <w:r>
        <w:rPr>
          <w:rFonts w:hint="cs"/>
          <w:rtl/>
        </w:rPr>
        <w:t>–</w:t>
      </w:r>
      <w:r>
        <w:rPr>
          <w:rtl/>
        </w:rPr>
        <w:t>1983</w:t>
      </w:r>
      <w:r>
        <w:rPr>
          <w:rFonts w:hint="cs"/>
          <w:rtl/>
        </w:rPr>
        <w:t>).</w:t>
      </w:r>
    </w:p>
    <w:p w14:paraId="0BADC4FA" w14:textId="7656A212" w:rsidR="00AD19BE" w:rsidRPr="00DF18A2" w:rsidRDefault="00AD19BE" w:rsidP="00AD19BE">
      <w:pPr>
        <w:pStyle w:val="Hesber"/>
        <w:rPr>
          <w:rtl/>
        </w:rPr>
      </w:pPr>
      <w:r w:rsidRPr="00DF18A2">
        <w:rPr>
          <w:rFonts w:hint="cs"/>
          <w:rtl/>
        </w:rPr>
        <w:t>מוצע לקבוע כי על אוסף המידע להפריד בין קבלת הסכמה לעצם איס</w:t>
      </w:r>
      <w:r w:rsidR="00FD33F5">
        <w:rPr>
          <w:rFonts w:hint="cs"/>
          <w:rtl/>
        </w:rPr>
        <w:t xml:space="preserve">וף המידע אודות ילדים (בכל גיל) ובין </w:t>
      </w:r>
      <w:r w:rsidRPr="00DF18A2">
        <w:rPr>
          <w:rFonts w:hint="cs"/>
          <w:rtl/>
        </w:rPr>
        <w:t>קבלת הסכמה להעברת המידע לגורמים שלישיים</w:t>
      </w:r>
      <w:r>
        <w:rPr>
          <w:rFonts w:hint="cs"/>
          <w:rtl/>
        </w:rPr>
        <w:t xml:space="preserve"> ולקבל למעשה שתי הסכמות נפרדות. </w:t>
      </w:r>
      <w:r w:rsidRPr="00DF18A2">
        <w:rPr>
          <w:rFonts w:hint="cs"/>
          <w:rtl/>
        </w:rPr>
        <w:t xml:space="preserve">במסגרת הליך קבלת ההסכמה להעברת המידע על אוסף המידע </w:t>
      </w:r>
      <w:r>
        <w:rPr>
          <w:rFonts w:hint="cs"/>
          <w:rtl/>
        </w:rPr>
        <w:t>יובהר לא</w:t>
      </w:r>
      <w:r w:rsidRPr="00DF18A2">
        <w:rPr>
          <w:rFonts w:hint="cs"/>
          <w:rtl/>
        </w:rPr>
        <w:t>לו גור</w:t>
      </w:r>
      <w:r>
        <w:rPr>
          <w:rFonts w:hint="cs"/>
          <w:rtl/>
        </w:rPr>
        <w:t>מים המידע עשוי להיות מועבר, ולא</w:t>
      </w:r>
      <w:r w:rsidRPr="00DF18A2">
        <w:rPr>
          <w:rFonts w:hint="cs"/>
          <w:rtl/>
        </w:rPr>
        <w:t xml:space="preserve">לו מטרות. הפרדה שכזו תאפשר להורים וילדים שליטה טובה יותר בהליך מתן ההסכמה </w:t>
      </w:r>
      <w:r w:rsidRPr="00DF18A2">
        <w:rPr>
          <w:rtl/>
        </w:rPr>
        <w:t>–</w:t>
      </w:r>
      <w:r w:rsidRPr="00DF18A2">
        <w:rPr>
          <w:rFonts w:hint="cs"/>
          <w:rtl/>
        </w:rPr>
        <w:t xml:space="preserve"> באופן שיאפשר להם להבין טוב יותר את משמעות הסכמתם.</w:t>
      </w:r>
      <w:r>
        <w:rPr>
          <w:rFonts w:hint="cs"/>
          <w:rtl/>
        </w:rPr>
        <w:t xml:space="preserve"> </w:t>
      </w:r>
      <w:r w:rsidRPr="00DF18A2">
        <w:rPr>
          <w:rFonts w:hint="cs"/>
          <w:rtl/>
        </w:rPr>
        <w:t>כללים דומים לכללים המפורטים כאן קיימים במסגרת ה</w:t>
      </w:r>
      <w:r>
        <w:rPr>
          <w:rFonts w:hint="cs"/>
          <w:rtl/>
        </w:rPr>
        <w:t xml:space="preserve"> </w:t>
      </w:r>
      <w:r>
        <w:rPr>
          <w:rtl/>
        </w:rPr>
        <w:t>–</w:t>
      </w:r>
      <w:r>
        <w:rPr>
          <w:rFonts w:hint="cs"/>
          <w:rtl/>
        </w:rPr>
        <w:t xml:space="preserve"> </w:t>
      </w:r>
      <w:r w:rsidRPr="00DF18A2">
        <w:t xml:space="preserve"> Ge</w:t>
      </w:r>
      <w:r>
        <w:t xml:space="preserve">neral Data Protection </w:t>
      </w:r>
      <w:proofErr w:type="spellStart"/>
      <w:r>
        <w:t>Regulatio</w:t>
      </w:r>
      <w:proofErr w:type="spellEnd"/>
      <w:r w:rsidRPr="00DF18A2">
        <w:t xml:space="preserve"> (GPDR)</w:t>
      </w:r>
      <w:r w:rsidRPr="00DF18A2">
        <w:rPr>
          <w:rFonts w:hint="cs"/>
          <w:rtl/>
        </w:rPr>
        <w:t xml:space="preserve"> האירופאי והדין הקנדי.</w:t>
      </w:r>
    </w:p>
    <w:p w14:paraId="246A53A9" w14:textId="77777777" w:rsidR="00AD19BE" w:rsidRPr="00DF18A2" w:rsidRDefault="00AD19BE" w:rsidP="00AD19BE">
      <w:pPr>
        <w:pStyle w:val="Hesber"/>
        <w:rPr>
          <w:rtl/>
        </w:rPr>
      </w:pPr>
      <w:r>
        <w:rPr>
          <w:rFonts w:hint="cs"/>
          <w:rtl/>
        </w:rPr>
        <w:t xml:space="preserve">בנוסף, </w:t>
      </w:r>
      <w:r w:rsidRPr="00DF18A2">
        <w:rPr>
          <w:rFonts w:hint="cs"/>
          <w:rtl/>
        </w:rPr>
        <w:t xml:space="preserve">מובהר כי כל מידע, ובוודאי מידע אישי, הנאסף והמעובד לצורך יישום כלל זה, יהיה אך ורק לצרכי אימות </w:t>
      </w:r>
      <w:r>
        <w:rPr>
          <w:rFonts w:hint="cs"/>
          <w:rtl/>
        </w:rPr>
        <w:t xml:space="preserve">המידע </w:t>
      </w:r>
      <w:r w:rsidRPr="00DF18A2">
        <w:rPr>
          <w:rFonts w:hint="cs"/>
          <w:rtl/>
        </w:rPr>
        <w:t xml:space="preserve">ולא לצרכים אחרים. </w:t>
      </w:r>
    </w:p>
    <w:p w14:paraId="1E182DA6" w14:textId="16E09F24" w:rsidR="00AD19BE" w:rsidRPr="00DF18A2" w:rsidRDefault="00AD19BE" w:rsidP="00AD19BE">
      <w:pPr>
        <w:pStyle w:val="HesberHeading"/>
        <w:rPr>
          <w:rtl/>
        </w:rPr>
      </w:pPr>
      <w:r w:rsidRPr="00DF18A2">
        <w:rPr>
          <w:rFonts w:hint="cs"/>
          <w:rtl/>
        </w:rPr>
        <w:t>סעיף 11ב</w:t>
      </w:r>
      <w:r w:rsidR="007229EC">
        <w:rPr>
          <w:rFonts w:hint="cs"/>
          <w:rtl/>
        </w:rPr>
        <w:t xml:space="preserve"> המוצע</w:t>
      </w:r>
    </w:p>
    <w:p w14:paraId="209BF613" w14:textId="74948A31" w:rsidR="00AD19BE" w:rsidRPr="00DF18A2" w:rsidRDefault="00AD19BE" w:rsidP="00FD33F5">
      <w:pPr>
        <w:pStyle w:val="Hesber"/>
        <w:rPr>
          <w:rtl/>
        </w:rPr>
      </w:pPr>
      <w:r w:rsidRPr="00DF18A2">
        <w:rPr>
          <w:rFonts w:hint="cs"/>
          <w:rtl/>
        </w:rPr>
        <w:t xml:space="preserve">מוצע לקבוע איסור איסוף מידע על ילדים מתחת לגיל 13 ללא הסכמה הורית וללא צורך הכרחי ומוגדר. </w:t>
      </w:r>
      <w:r w:rsidRPr="00DF18A2">
        <w:rPr>
          <w:rFonts w:hint="cs"/>
          <w:rtl/>
        </w:rPr>
        <w:lastRenderedPageBreak/>
        <w:t>השימוש במידע יהיה אך ורק למטרה שלשמה הוא נמסר. אם י</w:t>
      </w:r>
      <w:r>
        <w:rPr>
          <w:rFonts w:hint="cs"/>
          <w:rtl/>
        </w:rPr>
        <w:t>י</w:t>
      </w:r>
      <w:r w:rsidRPr="00DF18A2">
        <w:rPr>
          <w:rFonts w:hint="cs"/>
          <w:rtl/>
        </w:rPr>
        <w:t xml:space="preserve">אסף מידע, באישור ולצורך הכרחי, יהיה זה המידע המינימאלי הנדרש למתן השירות. כמו כן מוצע לקבוע איסור </w:t>
      </w:r>
      <w:r>
        <w:rPr>
          <w:rFonts w:hint="cs"/>
          <w:rtl/>
        </w:rPr>
        <w:t>איסוף מידע רגיש (על פי רשימה שתי</w:t>
      </w:r>
      <w:r w:rsidRPr="00DF18A2">
        <w:rPr>
          <w:rFonts w:hint="cs"/>
          <w:rtl/>
        </w:rPr>
        <w:t xml:space="preserve">קבע) אודות ילדים מתחת לגיל 18 ללא קבלת הסכמה הורית והסכמת הילד. בכל הנוגע לאיסוף מידע שאינו נחשב רגיש אודות ילדים מעל גיל 13 </w:t>
      </w:r>
      <w:r w:rsidRPr="00DF18A2">
        <w:rPr>
          <w:rtl/>
        </w:rPr>
        <w:t>–</w:t>
      </w:r>
      <w:r>
        <w:rPr>
          <w:rFonts w:hint="cs"/>
          <w:rtl/>
        </w:rPr>
        <w:t xml:space="preserve"> </w:t>
      </w:r>
      <w:r w:rsidRPr="00DF18A2">
        <w:rPr>
          <w:rFonts w:hint="cs"/>
          <w:rtl/>
        </w:rPr>
        <w:t>במקרה זה איסוף המיד</w:t>
      </w:r>
      <w:r w:rsidRPr="00DF18A2">
        <w:rPr>
          <w:rFonts w:hint="eastAsia"/>
          <w:rtl/>
        </w:rPr>
        <w:t>ע</w:t>
      </w:r>
      <w:r w:rsidRPr="00DF18A2">
        <w:rPr>
          <w:rFonts w:hint="cs"/>
          <w:rtl/>
        </w:rPr>
        <w:t xml:space="preserve"> </w:t>
      </w:r>
      <w:r>
        <w:rPr>
          <w:rFonts w:hint="cs"/>
          <w:rtl/>
        </w:rPr>
        <w:t>ידרוש</w:t>
      </w:r>
      <w:r w:rsidRPr="00DF18A2">
        <w:rPr>
          <w:rFonts w:hint="cs"/>
          <w:rtl/>
        </w:rPr>
        <w:t xml:space="preserve"> הסכמה מדעת של הילד </w:t>
      </w:r>
      <w:r>
        <w:rPr>
          <w:rFonts w:hint="cs"/>
          <w:rtl/>
        </w:rPr>
        <w:t>אך לא יהיה</w:t>
      </w:r>
      <w:r w:rsidRPr="00DF18A2">
        <w:rPr>
          <w:rFonts w:hint="cs"/>
          <w:rtl/>
        </w:rPr>
        <w:t xml:space="preserve"> צורך לקבל את הסכמת הוריו לכך.</w:t>
      </w:r>
    </w:p>
    <w:p w14:paraId="1A3BF64B" w14:textId="4245DC01" w:rsidR="00AD19BE" w:rsidRPr="00DF18A2" w:rsidRDefault="00AD19BE" w:rsidP="007229EC">
      <w:pPr>
        <w:pStyle w:val="Hesber"/>
        <w:rPr>
          <w:rtl/>
        </w:rPr>
      </w:pPr>
      <w:r w:rsidRPr="00DF18A2">
        <w:rPr>
          <w:rFonts w:hint="cs"/>
          <w:rtl/>
        </w:rPr>
        <w:t xml:space="preserve">כללים אלו </w:t>
      </w:r>
      <w:r>
        <w:rPr>
          <w:rFonts w:hint="cs"/>
          <w:rtl/>
        </w:rPr>
        <w:t>מרחיבים את</w:t>
      </w:r>
      <w:r w:rsidRPr="00DF18A2">
        <w:rPr>
          <w:rFonts w:hint="cs"/>
          <w:rtl/>
        </w:rPr>
        <w:t xml:space="preserve"> המנגנון הקיים בחוק</w:t>
      </w:r>
      <w:r>
        <w:rPr>
          <w:rFonts w:hint="cs"/>
          <w:rtl/>
        </w:rPr>
        <w:t>,</w:t>
      </w:r>
      <w:r w:rsidRPr="00DF18A2">
        <w:rPr>
          <w:rFonts w:hint="cs"/>
          <w:rtl/>
        </w:rPr>
        <w:t xml:space="preserve"> לפיו השימוש במידע חייב להיות אך ורק למטרה שלשמה הוא נאסף. כללים אל</w:t>
      </w:r>
      <w:r>
        <w:rPr>
          <w:rFonts w:hint="cs"/>
          <w:rtl/>
        </w:rPr>
        <w:t>ה</w:t>
      </w:r>
      <w:r w:rsidRPr="00DF18A2">
        <w:rPr>
          <w:rFonts w:hint="cs"/>
          <w:rtl/>
        </w:rPr>
        <w:t xml:space="preserve"> יחייבו גורמים האוספים מידע אודות ילדים לבחון את סוגי המידע הנאספים ע</w:t>
      </w:r>
      <w:r>
        <w:rPr>
          <w:rFonts w:hint="cs"/>
          <w:rtl/>
        </w:rPr>
        <w:t>ל-ידם ולבדוק האם קיימת הצדקה אמ</w:t>
      </w:r>
      <w:r w:rsidRPr="00DF18A2">
        <w:rPr>
          <w:rFonts w:hint="cs"/>
          <w:rtl/>
        </w:rPr>
        <w:t xml:space="preserve">תית לאיסוף כל מידע ומידע. </w:t>
      </w:r>
    </w:p>
    <w:p w14:paraId="0964685A" w14:textId="77777777" w:rsidR="00AD19BE" w:rsidRPr="00DF18A2" w:rsidRDefault="00AD19BE" w:rsidP="00AD19BE">
      <w:pPr>
        <w:pStyle w:val="Hesber"/>
        <w:rPr>
          <w:rtl/>
        </w:rPr>
      </w:pPr>
      <w:r w:rsidRPr="00DF18A2">
        <w:rPr>
          <w:rFonts w:hint="cs"/>
          <w:rtl/>
        </w:rPr>
        <w:t xml:space="preserve">כחריג לכלל </w:t>
      </w:r>
      <w:r>
        <w:rPr>
          <w:rFonts w:hint="cs"/>
          <w:rtl/>
        </w:rPr>
        <w:t>המוצע,</w:t>
      </w:r>
      <w:r w:rsidRPr="00DF18A2">
        <w:rPr>
          <w:rFonts w:hint="cs"/>
          <w:rtl/>
        </w:rPr>
        <w:t xml:space="preserve"> מוצע להבהיר כי לרשויות המדינה (ובפרט לרשויות החינוך והרווחה) תעמוד </w:t>
      </w:r>
      <w:r>
        <w:rPr>
          <w:rFonts w:hint="cs"/>
          <w:rtl/>
        </w:rPr>
        <w:t>הזכות</w:t>
      </w:r>
      <w:r w:rsidRPr="00DF18A2">
        <w:rPr>
          <w:rFonts w:hint="cs"/>
          <w:rtl/>
        </w:rPr>
        <w:t xml:space="preserve"> לאסוף ולעשות שימוש במידע על אודות קטין גם ללא קבלת הסכמתו או הסכמת הוריו, אך זאת רק במקרים חריגים שבהם הימנעות מאיסוף או השימוש במידע תהיה עשויה, בסבירות גבוהה, לפגוע בצורה קשה בקטין או בילדים אחרים. על הרשויות ליידע את הקטין והוריו על החלטתן לאסוף או לעשות שימוש במידע הנוגע אליו ולאפשר להם לערר על החלטה זו.</w:t>
      </w:r>
    </w:p>
    <w:p w14:paraId="6C03F4A6" w14:textId="77777777" w:rsidR="00AD19BE" w:rsidRPr="00DF18A2" w:rsidRDefault="00AD19BE" w:rsidP="00AD19BE">
      <w:pPr>
        <w:pStyle w:val="Hesber"/>
        <w:rPr>
          <w:rtl/>
        </w:rPr>
      </w:pPr>
      <w:r w:rsidRPr="00DF18A2">
        <w:rPr>
          <w:rFonts w:hint="cs"/>
          <w:rtl/>
        </w:rPr>
        <w:t>הסדרים דומים לאלה קבועים ב-</w:t>
      </w:r>
      <w:r w:rsidRPr="00DF18A2">
        <w:t>COPPA</w:t>
      </w:r>
      <w:r w:rsidRPr="00DF18A2">
        <w:rPr>
          <w:rFonts w:hint="cs"/>
          <w:rtl/>
        </w:rPr>
        <w:t xml:space="preserve"> האמריקני, בדין הקנדי וכן ברפורמת ה-</w:t>
      </w:r>
      <w:r w:rsidRPr="00DF18A2">
        <w:t>GDPR</w:t>
      </w:r>
      <w:r w:rsidRPr="00DF18A2">
        <w:rPr>
          <w:rFonts w:hint="cs"/>
          <w:rtl/>
        </w:rPr>
        <w:t xml:space="preserve"> האירופאית. הסדר זה מבטא איזון בין הצורך להגן על ילדים לבין ההכרה ביכולתם של ילדים מעל גיל 13 לקבל החלטות עבור עצמם </w:t>
      </w:r>
      <w:r w:rsidRPr="00DF18A2">
        <w:rPr>
          <w:rtl/>
        </w:rPr>
        <w:t>–</w:t>
      </w:r>
      <w:r w:rsidRPr="00DF18A2">
        <w:rPr>
          <w:rFonts w:hint="cs"/>
          <w:rtl/>
        </w:rPr>
        <w:t xml:space="preserve"> בעיקר כאל</w:t>
      </w:r>
      <w:r>
        <w:rPr>
          <w:rFonts w:hint="cs"/>
          <w:rtl/>
        </w:rPr>
        <w:t>ה</w:t>
      </w:r>
      <w:r w:rsidRPr="00DF18A2">
        <w:rPr>
          <w:rFonts w:hint="cs"/>
          <w:rtl/>
        </w:rPr>
        <w:t xml:space="preserve"> שהשלכותיהן עשויות לפגוע בהם בצורה קשה. </w:t>
      </w:r>
    </w:p>
    <w:p w14:paraId="6ECD67BB" w14:textId="77777777" w:rsidR="00AD19BE" w:rsidRPr="00DF18A2" w:rsidRDefault="00AD19BE" w:rsidP="00AD19BE">
      <w:pPr>
        <w:pStyle w:val="Hesber"/>
        <w:rPr>
          <w:rtl/>
        </w:rPr>
      </w:pPr>
      <w:r w:rsidRPr="00DF18A2">
        <w:rPr>
          <w:rFonts w:hint="cs"/>
          <w:rtl/>
        </w:rPr>
        <w:t>עוד מוצע לאסור על מפעילי אתרים</w:t>
      </w:r>
      <w:r w:rsidRPr="00DF18A2">
        <w:rPr>
          <w:rtl/>
        </w:rPr>
        <w:t xml:space="preserve">, </w:t>
      </w:r>
      <w:r w:rsidRPr="00DF18A2">
        <w:rPr>
          <w:rFonts w:hint="cs"/>
          <w:rtl/>
        </w:rPr>
        <w:t>אפליקציות ושירותים מקוונים אחרים המכוונים לילדים עד גיל 13 למכור את פרטיהם האישיים של הילדים ביודעין לצדדים שלישיים, וכן לעשות שימוש או לחשוף פרטים אישיים של הילדים על מ</w:t>
      </w:r>
      <w:r>
        <w:rPr>
          <w:rFonts w:hint="cs"/>
          <w:rtl/>
        </w:rPr>
        <w:t>נת לשווק להם פרסומות התואמות ל</w:t>
      </w:r>
      <w:r w:rsidRPr="00DF18A2">
        <w:rPr>
          <w:rFonts w:hint="cs"/>
          <w:rtl/>
        </w:rPr>
        <w:t xml:space="preserve">הם. </w:t>
      </w:r>
    </w:p>
    <w:p w14:paraId="591172A2" w14:textId="77777777" w:rsidR="00AD19BE" w:rsidRPr="00DF18A2" w:rsidRDefault="00AD19BE" w:rsidP="00AD19BE">
      <w:pPr>
        <w:pStyle w:val="Hesber"/>
        <w:rPr>
          <w:rtl/>
        </w:rPr>
      </w:pPr>
      <w:r w:rsidRPr="00DF18A2">
        <w:rPr>
          <w:rFonts w:hint="cs"/>
          <w:rtl/>
        </w:rPr>
        <w:t>חשוב להדגיש כי סוגיית הפרסום לקטינים מוסדרת, בעיקרה, בתקנות הגנת הצרכן (פרסומות ודרכי שיווק לקטינים), התשנ"א</w:t>
      </w:r>
      <w:r>
        <w:rPr>
          <w:rFonts w:hint="cs"/>
          <w:rtl/>
        </w:rPr>
        <w:t>–</w:t>
      </w:r>
      <w:r w:rsidRPr="00DF18A2">
        <w:rPr>
          <w:rFonts w:hint="cs"/>
          <w:rtl/>
        </w:rPr>
        <w:t>1991. תקנות אלו מגבילות את דרכי הפרסום לקטינים וקובעות, בין היתר, כי אין לעשות ניצול לרעה של קטינים או לעשות שימוש בפרסומות במטרה לעודד קטינים לשכנע את הוריהם לרכוש עבורם מוצר או שירות. סעיף 7א לתקנות קובע גם כי</w:t>
      </w:r>
      <w:r w:rsidRPr="00DF18A2">
        <w:rPr>
          <w:rtl/>
        </w:rPr>
        <w:t xml:space="preserve"> </w:t>
      </w:r>
      <w:r w:rsidRPr="00DF18A2">
        <w:rPr>
          <w:rFonts w:hint="cs"/>
          <w:rtl/>
        </w:rPr>
        <w:t>"</w:t>
      </w:r>
      <w:r w:rsidRPr="00DF18A2">
        <w:rPr>
          <w:rtl/>
        </w:rPr>
        <w:t>לא יעשה אדם פרסומת ולא ינקוט דרכי שיווק שיש בהן, במישרין או בעקיפין, עשיית שימוש בפרטים אישיים של קטין או בפרטים אישיים של אדם אחר שהתקבלו באמצעות קטין, אלא בהסכמת הורה או אפוטרופוס או האדם האחר לפי הענין ובלבד שאינו קטין</w:t>
      </w:r>
      <w:r w:rsidRPr="00DF18A2">
        <w:rPr>
          <w:rFonts w:hint="cs"/>
          <w:rtl/>
        </w:rPr>
        <w:t xml:space="preserve">". הסעיף המוצע בהצעת חוק זו מבטאת ביתר דגש את האתגרים הקיימים במציאות בעידן הדיגיטלי, בה הורים מעניקים הסכמתם לשימוש באפליקציות שונות וברשתות חברתיות, מבלי לדעת את ההשלכות לכך, לרבות בנוגע לפרסום ממוקד עבור ילדיהם. נדרשת הגנה משמעותית יותר על ילדים בגילאים </w:t>
      </w:r>
      <w:r>
        <w:rPr>
          <w:rFonts w:hint="cs"/>
          <w:rtl/>
        </w:rPr>
        <w:t>נמוכים</w:t>
      </w:r>
      <w:r w:rsidRPr="00DF18A2">
        <w:rPr>
          <w:rFonts w:hint="cs"/>
          <w:rtl/>
        </w:rPr>
        <w:t xml:space="preserve"> בצורה של הגבלת היכולת לעשות שימוש במידע לשם פרסום ממוקד עבור ילדים.</w:t>
      </w:r>
    </w:p>
    <w:p w14:paraId="0D679AE1" w14:textId="77777777" w:rsidR="00AD19BE" w:rsidRPr="00DF18A2" w:rsidRDefault="00AD19BE" w:rsidP="00AD19BE">
      <w:pPr>
        <w:pStyle w:val="Hesber"/>
        <w:rPr>
          <w:rtl/>
        </w:rPr>
      </w:pPr>
      <w:r w:rsidRPr="00DF18A2">
        <w:rPr>
          <w:rFonts w:hint="cs"/>
          <w:rtl/>
        </w:rPr>
        <w:t>יובהר כי האיסור המוצע הינו איסור מוחלט ואין בקבלת הסכמה מטעם הורי הילד בכדי להתיר את השימוש האמור במידע אודותיו.</w:t>
      </w:r>
    </w:p>
    <w:p w14:paraId="5AAD5E09" w14:textId="024B5A0B" w:rsidR="00AD19BE" w:rsidRPr="00DF18A2" w:rsidRDefault="00AD19BE" w:rsidP="00AD19BE">
      <w:pPr>
        <w:pStyle w:val="HesberHeading"/>
        <w:rPr>
          <w:rtl/>
        </w:rPr>
      </w:pPr>
      <w:r w:rsidRPr="00DF18A2">
        <w:rPr>
          <w:rFonts w:hint="cs"/>
          <w:rtl/>
        </w:rPr>
        <w:t xml:space="preserve">סעיף </w:t>
      </w:r>
      <w:r>
        <w:rPr>
          <w:rFonts w:hint="cs"/>
          <w:rtl/>
        </w:rPr>
        <w:t>14א</w:t>
      </w:r>
      <w:r w:rsidR="007229EC">
        <w:rPr>
          <w:rFonts w:hint="cs"/>
          <w:rtl/>
        </w:rPr>
        <w:t xml:space="preserve"> המוצע</w:t>
      </w:r>
    </w:p>
    <w:p w14:paraId="47FD773B" w14:textId="77777777" w:rsidR="00AD19BE" w:rsidRPr="00DF18A2" w:rsidRDefault="00AD19BE" w:rsidP="00AD19BE">
      <w:pPr>
        <w:pStyle w:val="Hesber"/>
        <w:rPr>
          <w:rtl/>
        </w:rPr>
      </w:pPr>
      <w:r w:rsidRPr="00DF18A2">
        <w:rPr>
          <w:rFonts w:hint="cs"/>
          <w:rtl/>
        </w:rPr>
        <w:t>עולמם של הילדים הוא דיגיטלי. תמונות, סרטונים ומידע של הילדים מועלים באופן תדיר לאינטרנט על</w:t>
      </w:r>
      <w:r>
        <w:rPr>
          <w:rFonts w:hint="cs"/>
          <w:rtl/>
        </w:rPr>
        <w:t xml:space="preserve"> ידם, ועל ידי חבריהם או בני משפחתם</w:t>
      </w:r>
      <w:r w:rsidRPr="00DF18A2">
        <w:rPr>
          <w:rFonts w:hint="cs"/>
          <w:rtl/>
        </w:rPr>
        <w:t>. מוצע כי לילדים (ולילדים שבגרו) תהא הזכות לדרוש את ביטול ההסכמה שנית</w:t>
      </w:r>
      <w:r>
        <w:rPr>
          <w:rFonts w:hint="cs"/>
          <w:rtl/>
        </w:rPr>
        <w:t>נה לשימוש במידע על אודותיהם ב</w:t>
      </w:r>
      <w:r w:rsidRPr="00DF18A2">
        <w:rPr>
          <w:rFonts w:hint="cs"/>
          <w:rtl/>
        </w:rPr>
        <w:t>היותם קטינים, וזאת ללא תלות בזהות נותן ההסכמה (ההורה או הילד עצמו) או בסוג המידע.</w:t>
      </w:r>
    </w:p>
    <w:p w14:paraId="61D3E4DA" w14:textId="77777777" w:rsidR="00AD19BE" w:rsidRPr="00DF18A2" w:rsidRDefault="00AD19BE" w:rsidP="00AD19BE">
      <w:pPr>
        <w:pStyle w:val="Hesber"/>
        <w:rPr>
          <w:rtl/>
        </w:rPr>
      </w:pPr>
      <w:r w:rsidRPr="00DF18A2">
        <w:rPr>
          <w:rFonts w:hint="cs"/>
          <w:rtl/>
        </w:rPr>
        <w:t>בהלי</w:t>
      </w:r>
      <w:r w:rsidRPr="00DF18A2">
        <w:rPr>
          <w:rFonts w:hint="eastAsia"/>
          <w:rtl/>
        </w:rPr>
        <w:t>ך</w:t>
      </w:r>
      <w:r w:rsidRPr="00DF18A2">
        <w:rPr>
          <w:rFonts w:hint="cs"/>
          <w:rtl/>
        </w:rPr>
        <w:t xml:space="preserve"> מתן הסכמה לשימוש במידע על אודות קטין קיימים כשלים אינהרנטיים הנובעים מקושי להבין את השלכות השימוש במידע (גם על ידי הילדים עצמם ולעיתים אף על ידי הוריהם), ומיחסי הכוחות הלא </w:t>
      </w:r>
      <w:r w:rsidRPr="00DF18A2">
        <w:rPr>
          <w:rFonts w:hint="cs"/>
          <w:rtl/>
        </w:rPr>
        <w:lastRenderedPageBreak/>
        <w:t xml:space="preserve">שוויוניים בין הורים לילדיהם. </w:t>
      </w:r>
    </w:p>
    <w:p w14:paraId="18FF77E8" w14:textId="473E0E7C" w:rsidR="00AD19BE" w:rsidRPr="00DF18A2" w:rsidRDefault="00AD19BE" w:rsidP="00AD19BE">
      <w:pPr>
        <w:pStyle w:val="Hesber"/>
      </w:pPr>
      <w:r w:rsidRPr="00DF18A2">
        <w:rPr>
          <w:rFonts w:hint="cs"/>
          <w:rtl/>
        </w:rPr>
        <w:t xml:space="preserve">כיוון שזכותו של אדם לשלוט במידע הנוגע אליו ובוודאי כאשר המידע הועלה </w:t>
      </w:r>
      <w:r>
        <w:rPr>
          <w:rFonts w:hint="cs"/>
          <w:rtl/>
        </w:rPr>
        <w:t>לרשת</w:t>
      </w:r>
      <w:r w:rsidRPr="00DF18A2">
        <w:rPr>
          <w:rFonts w:hint="cs"/>
          <w:rtl/>
        </w:rPr>
        <w:t xml:space="preserve"> כשעדיין היה קטין, מן הראוי כי לילדים (ולילדים שבגרו) תעמוד הזכות לדרוש את הפסקת השימוש במידע הנוגע אליהם ואת ביטולה של הסכמ</w:t>
      </w:r>
      <w:r w:rsidR="007229EC">
        <w:rPr>
          <w:rFonts w:hint="cs"/>
          <w:rtl/>
        </w:rPr>
        <w:t xml:space="preserve">ה שניתנה בעניין זה על ידם או על </w:t>
      </w:r>
      <w:r w:rsidRPr="00DF18A2">
        <w:rPr>
          <w:rFonts w:hint="cs"/>
          <w:rtl/>
        </w:rPr>
        <w:t xml:space="preserve">ידי הוריהם, שעה שהיו קטינים. </w:t>
      </w:r>
    </w:p>
    <w:p w14:paraId="1BA7CAA9" w14:textId="77777777" w:rsidR="00AD19BE" w:rsidRPr="00DF18A2" w:rsidRDefault="00AD19BE" w:rsidP="00AD19BE">
      <w:pPr>
        <w:pStyle w:val="Hesber"/>
        <w:rPr>
          <w:rtl/>
        </w:rPr>
      </w:pPr>
      <w:r w:rsidRPr="00DF18A2">
        <w:rPr>
          <w:rFonts w:hint="cs"/>
          <w:rtl/>
        </w:rPr>
        <w:t xml:space="preserve">יובהר כי במצב בו קיימת הצדקה עניינית להמשך השימוש במידע </w:t>
      </w:r>
      <w:r w:rsidRPr="00DF18A2">
        <w:rPr>
          <w:rtl/>
        </w:rPr>
        <w:t>–</w:t>
      </w:r>
      <w:r w:rsidRPr="00DF18A2">
        <w:rPr>
          <w:rFonts w:hint="cs"/>
          <w:rtl/>
        </w:rPr>
        <w:t xml:space="preserve"> אם מבחינת העניין והאינטרס הציבורי הרחב ואם מבחינת טובתו של הילד </w:t>
      </w:r>
      <w:r w:rsidRPr="00DF18A2">
        <w:rPr>
          <w:rtl/>
        </w:rPr>
        <w:t>–</w:t>
      </w:r>
      <w:r w:rsidRPr="00DF18A2">
        <w:rPr>
          <w:rFonts w:hint="cs"/>
          <w:rtl/>
        </w:rPr>
        <w:t xml:space="preserve"> תעמוד לגורם המשתמש במידע הזכות לדחות </w:t>
      </w:r>
      <w:r>
        <w:rPr>
          <w:rFonts w:hint="cs"/>
          <w:rtl/>
        </w:rPr>
        <w:t xml:space="preserve">את </w:t>
      </w:r>
      <w:r w:rsidRPr="00DF18A2">
        <w:rPr>
          <w:rFonts w:hint="cs"/>
          <w:rtl/>
        </w:rPr>
        <w:t>הבקשה. דחיית הבקשה חייבת להיות מנומקת. כלל דומה מופיע ברפורמת ה-</w:t>
      </w:r>
      <w:r w:rsidRPr="00DF18A2">
        <w:t>GDPR</w:t>
      </w:r>
      <w:r>
        <w:rPr>
          <w:rFonts w:hint="cs"/>
          <w:rtl/>
        </w:rPr>
        <w:t xml:space="preserve"> ובחקיקה המדינ</w:t>
      </w:r>
      <w:r w:rsidRPr="00DF18A2">
        <w:rPr>
          <w:rFonts w:hint="cs"/>
          <w:rtl/>
        </w:rPr>
        <w:t>תית בקליפורניה.</w:t>
      </w:r>
    </w:p>
    <w:p w14:paraId="0F1684E6" w14:textId="0C0A2E87" w:rsidR="00AD19BE" w:rsidRPr="00DF18A2" w:rsidRDefault="007229EC" w:rsidP="00AD19BE">
      <w:pPr>
        <w:pStyle w:val="HesberHeading"/>
        <w:rPr>
          <w:rtl/>
        </w:rPr>
      </w:pPr>
      <w:r>
        <w:rPr>
          <w:rFonts w:hint="cs"/>
          <w:rtl/>
        </w:rPr>
        <w:t xml:space="preserve">תיקון </w:t>
      </w:r>
      <w:r w:rsidR="00AD19BE" w:rsidRPr="00DF18A2">
        <w:rPr>
          <w:rFonts w:hint="cs"/>
          <w:rtl/>
        </w:rPr>
        <w:t>סעיף 17</w:t>
      </w:r>
    </w:p>
    <w:p w14:paraId="6DF51450" w14:textId="77777777" w:rsidR="00AD19BE" w:rsidRPr="00DF18A2" w:rsidRDefault="00AD19BE" w:rsidP="00AD19BE">
      <w:pPr>
        <w:pStyle w:val="Hesber"/>
        <w:rPr>
          <w:rtl/>
        </w:rPr>
      </w:pPr>
      <w:r w:rsidRPr="00DF18A2">
        <w:rPr>
          <w:rFonts w:hint="cs"/>
          <w:rtl/>
        </w:rPr>
        <w:t xml:space="preserve">העיקרון הנמצא בבסיס ההסדרה המוצעת </w:t>
      </w:r>
      <w:r>
        <w:rPr>
          <w:rFonts w:hint="cs"/>
          <w:rtl/>
        </w:rPr>
        <w:t>הוא</w:t>
      </w:r>
      <w:r w:rsidRPr="00DF18A2">
        <w:rPr>
          <w:rFonts w:hint="cs"/>
          <w:rtl/>
        </w:rPr>
        <w:t xml:space="preserve"> שיש להעניק לפרטיות ילדים הגנה משמעותית יותר מזו המוענקת לבגירים. לפיכך, </w:t>
      </w:r>
      <w:r>
        <w:rPr>
          <w:rFonts w:hint="cs"/>
          <w:rtl/>
        </w:rPr>
        <w:t xml:space="preserve">יש </w:t>
      </w:r>
      <w:r w:rsidRPr="00DF18A2">
        <w:rPr>
          <w:rFonts w:hint="cs"/>
          <w:rtl/>
        </w:rPr>
        <w:t>לחייב גורמים העושים שימוש במידע אודות ילדים לעשות שימוש, ככל הניתן, במערכות אבטחה מתקדמות על מנת להגן על מידע זה.</w:t>
      </w:r>
    </w:p>
    <w:p w14:paraId="6E193A12" w14:textId="77777777" w:rsidR="00AD19BE" w:rsidRPr="00DF18A2" w:rsidRDefault="00AD19BE" w:rsidP="00AD19BE">
      <w:pPr>
        <w:pStyle w:val="Hesber"/>
        <w:rPr>
          <w:rtl/>
        </w:rPr>
      </w:pPr>
      <w:r w:rsidRPr="00DF18A2">
        <w:rPr>
          <w:rFonts w:hint="cs"/>
          <w:rtl/>
        </w:rPr>
        <w:t>יובהר כי הוראות הדין המחייבות בעניין אבטחת מידע (</w:t>
      </w:r>
      <w:r>
        <w:rPr>
          <w:rFonts w:hint="cs"/>
          <w:rtl/>
        </w:rPr>
        <w:t>כגון</w:t>
      </w:r>
      <w:r w:rsidRPr="00DF18A2">
        <w:rPr>
          <w:rFonts w:hint="cs"/>
          <w:rtl/>
        </w:rPr>
        <w:t xml:space="preserve"> תקנות הגנת הפרטיות (תנאי החזקת מידע ושמירתו וסדרי העברת מידע בין גופים ציבוריים), התשמ"ו</w:t>
      </w:r>
      <w:r>
        <w:rPr>
          <w:rFonts w:hint="cs"/>
          <w:rtl/>
        </w:rPr>
        <w:t>–</w:t>
      </w:r>
      <w:r w:rsidRPr="00DF18A2">
        <w:rPr>
          <w:rFonts w:hint="cs"/>
          <w:rtl/>
        </w:rPr>
        <w:t xml:space="preserve">1986), ישמשו מסגרת מינימלית והתחלתית בלבד, וכי על הגורמים הרלוונטיים לעשות שימוש, ככל הניתן, במערכות אבטחת מידע מקיפות יותר. </w:t>
      </w:r>
    </w:p>
    <w:p w14:paraId="58D5ABDD" w14:textId="77777777" w:rsidR="00AD19BE" w:rsidRPr="00ED015C" w:rsidRDefault="00AD19BE" w:rsidP="00AD19BE">
      <w:pPr>
        <w:pStyle w:val="Hesber"/>
        <w:rPr>
          <w:rtl/>
        </w:rPr>
      </w:pPr>
      <w:r w:rsidRPr="00DF18A2">
        <w:rPr>
          <w:rFonts w:hint="cs"/>
          <w:rtl/>
        </w:rPr>
        <w:t xml:space="preserve">מוצע כי גורמים הפועלים לאיסוף ושימוש במידע על אודות </w:t>
      </w:r>
      <w:r>
        <w:rPr>
          <w:rFonts w:hint="cs"/>
          <w:rtl/>
        </w:rPr>
        <w:t xml:space="preserve">קטינים יחויבו לפעול על </w:t>
      </w:r>
      <w:r w:rsidRPr="00DF18A2">
        <w:rPr>
          <w:rFonts w:hint="cs"/>
          <w:rtl/>
        </w:rPr>
        <w:t>פי רעיון הפרטיות באמצעות תכנון (</w:t>
      </w:r>
      <w:r w:rsidRPr="00DF18A2">
        <w:t>PBD</w:t>
      </w:r>
      <w:r w:rsidRPr="00DF18A2">
        <w:rPr>
          <w:rFonts w:hint="cs"/>
          <w:rtl/>
        </w:rPr>
        <w:t>) לשם צמצום כמות והיקף המידע שנאסף מלכתחילה</w:t>
      </w:r>
      <w:r>
        <w:rPr>
          <w:rFonts w:hint="cs"/>
          <w:rtl/>
        </w:rPr>
        <w:t>,</w:t>
      </w:r>
      <w:r w:rsidRPr="00DF18A2">
        <w:rPr>
          <w:rFonts w:hint="cs"/>
          <w:rtl/>
        </w:rPr>
        <w:t xml:space="preserve"> וכן </w:t>
      </w:r>
      <w:r>
        <w:rPr>
          <w:rFonts w:hint="cs"/>
          <w:rtl/>
        </w:rPr>
        <w:t>לצמצום</w:t>
      </w:r>
      <w:r w:rsidRPr="00DF18A2">
        <w:rPr>
          <w:rFonts w:hint="cs"/>
          <w:rtl/>
        </w:rPr>
        <w:t xml:space="preserve"> </w:t>
      </w:r>
      <w:r>
        <w:rPr>
          <w:rFonts w:hint="cs"/>
          <w:rtl/>
        </w:rPr>
        <w:t>ה</w:t>
      </w:r>
      <w:r w:rsidRPr="00DF18A2">
        <w:rPr>
          <w:rFonts w:hint="cs"/>
          <w:rtl/>
        </w:rPr>
        <w:t xml:space="preserve">יכולת לעשות שימוש פסול במידע. </w:t>
      </w:r>
      <w:r>
        <w:rPr>
          <w:rFonts w:hint="cs"/>
          <w:rtl/>
        </w:rPr>
        <w:t xml:space="preserve">כמו כן, </w:t>
      </w:r>
      <w:r w:rsidRPr="00DF18A2">
        <w:rPr>
          <w:rFonts w:hint="cs"/>
          <w:rtl/>
        </w:rPr>
        <w:t>מוצע כי הגו</w:t>
      </w:r>
      <w:r>
        <w:rPr>
          <w:rFonts w:hint="cs"/>
          <w:rtl/>
        </w:rPr>
        <w:t>רמים האמורים יחויבו בעריכת תסקיר השפעה על פרטיות</w:t>
      </w:r>
      <w:r w:rsidRPr="00DF18A2">
        <w:rPr>
          <w:rFonts w:hint="cs"/>
          <w:rtl/>
        </w:rPr>
        <w:t xml:space="preserve"> לשם זיהוי והקטנת הסיכון לפרטיות ילדים.</w:t>
      </w:r>
    </w:p>
    <w:p w14:paraId="7F6961CB" w14:textId="77777777" w:rsidR="00E13C27" w:rsidRDefault="00E13C27" w:rsidP="00AD19BE">
      <w:pPr>
        <w:rPr>
          <w:rtl/>
        </w:rPr>
      </w:pPr>
    </w:p>
    <w:p w14:paraId="4825B2F1" w14:textId="609B2099" w:rsidR="00F956D0" w:rsidRDefault="00F956D0" w:rsidP="00F956D0">
      <w:pPr>
        <w:rPr>
          <w:rtl/>
        </w:rPr>
      </w:pPr>
    </w:p>
    <w:p w14:paraId="70AC02DA" w14:textId="77777777" w:rsidR="00F956D0" w:rsidRPr="00F956D0" w:rsidRDefault="00F956D0" w:rsidP="00F956D0">
      <w:pPr>
        <w:rPr>
          <w:rFonts w:ascii="Arial" w:eastAsia="Arial Unicode MS" w:hAnsi="Arial" w:cs="David"/>
          <w:snapToGrid w:val="0"/>
          <w:spacing w:val="0"/>
          <w:sz w:val="20"/>
          <w:szCs w:val="26"/>
          <w:rtl/>
        </w:rPr>
      </w:pPr>
      <w:r w:rsidRPr="00F956D0">
        <w:rPr>
          <w:rFonts w:ascii="Arial" w:eastAsia="Arial Unicode MS" w:hAnsi="Arial" w:cs="David"/>
          <w:snapToGrid w:val="0"/>
          <w:spacing w:val="0"/>
          <w:sz w:val="20"/>
          <w:szCs w:val="26"/>
          <w:rtl/>
        </w:rPr>
        <w:t>---------------------------------</w:t>
      </w:r>
    </w:p>
    <w:p w14:paraId="11F6507F" w14:textId="77777777" w:rsidR="00F956D0" w:rsidRPr="00F956D0" w:rsidRDefault="00F956D0" w:rsidP="00F956D0">
      <w:pPr>
        <w:rPr>
          <w:rFonts w:ascii="Arial" w:eastAsia="Arial Unicode MS" w:hAnsi="Arial" w:cs="David"/>
          <w:snapToGrid w:val="0"/>
          <w:spacing w:val="0"/>
          <w:sz w:val="20"/>
          <w:szCs w:val="26"/>
          <w:rtl/>
        </w:rPr>
      </w:pPr>
      <w:r w:rsidRPr="00F956D0">
        <w:rPr>
          <w:rFonts w:ascii="Arial" w:eastAsia="Arial Unicode MS" w:hAnsi="Arial" w:cs="David"/>
          <w:snapToGrid w:val="0"/>
          <w:spacing w:val="0"/>
          <w:sz w:val="20"/>
          <w:szCs w:val="26"/>
          <w:rtl/>
        </w:rPr>
        <w:t>הוגשה ליו"ר הכנסת והסגנים</w:t>
      </w:r>
    </w:p>
    <w:p w14:paraId="317ACFCF" w14:textId="77777777" w:rsidR="00F956D0" w:rsidRPr="00F956D0" w:rsidRDefault="00F956D0" w:rsidP="00F956D0">
      <w:pPr>
        <w:rPr>
          <w:rFonts w:ascii="Arial" w:eastAsia="Arial Unicode MS" w:hAnsi="Arial" w:cs="David"/>
          <w:snapToGrid w:val="0"/>
          <w:spacing w:val="0"/>
          <w:sz w:val="20"/>
          <w:szCs w:val="26"/>
          <w:rtl/>
        </w:rPr>
      </w:pPr>
      <w:r w:rsidRPr="00F956D0">
        <w:rPr>
          <w:rFonts w:ascii="Arial" w:eastAsia="Arial Unicode MS" w:hAnsi="Arial" w:cs="David"/>
          <w:snapToGrid w:val="0"/>
          <w:spacing w:val="0"/>
          <w:sz w:val="20"/>
          <w:szCs w:val="26"/>
          <w:rtl/>
        </w:rPr>
        <w:t>והונחה על שולחן הכנסת ביום</w:t>
      </w:r>
    </w:p>
    <w:p w14:paraId="4740F4BE" w14:textId="4F831077" w:rsidR="00F956D0" w:rsidRPr="00F956D0" w:rsidRDefault="00F956D0" w:rsidP="00F956D0">
      <w:pPr>
        <w:rPr>
          <w:rFonts w:ascii="Arial" w:eastAsia="Arial Unicode MS" w:hAnsi="Arial" w:cs="David"/>
          <w:snapToGrid w:val="0"/>
          <w:spacing w:val="0"/>
          <w:sz w:val="20"/>
          <w:szCs w:val="26"/>
          <w:rtl/>
        </w:rPr>
      </w:pPr>
      <w:r w:rsidRPr="00F956D0">
        <w:rPr>
          <w:rFonts w:ascii="Arial" w:eastAsia="Arial Unicode MS" w:hAnsi="Arial" w:cs="David"/>
          <w:snapToGrid w:val="0"/>
          <w:spacing w:val="0"/>
          <w:sz w:val="20"/>
          <w:szCs w:val="26"/>
          <w:rtl/>
        </w:rPr>
        <w:t>א' באדר התשע"ז - 27.2.17</w:t>
      </w:r>
    </w:p>
    <w:sectPr w:rsidR="00F956D0" w:rsidRPr="00F956D0"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A5B93" w14:textId="77777777" w:rsidR="00143F58" w:rsidRDefault="00143F58">
      <w:r>
        <w:separator/>
      </w:r>
    </w:p>
  </w:endnote>
  <w:endnote w:type="continuationSeparator" w:id="0">
    <w:p w14:paraId="4495C358" w14:textId="77777777" w:rsidR="00143F58" w:rsidRDefault="00143F58">
      <w:r>
        <w:continuationSeparator/>
      </w:r>
    </w:p>
  </w:endnote>
  <w:endnote w:type="continuationNotice" w:id="1">
    <w:p w14:paraId="39C34884" w14:textId="77777777" w:rsidR="00143F58" w:rsidRDefault="00143F5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F6961D6" w14:textId="77777777" w:rsidR="002C3041" w:rsidRDefault="002C30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28EBEC2E" w:rsidR="002C3041" w:rsidRDefault="002C3041" w:rsidP="001207F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F49DA">
      <w:rPr>
        <w:rStyle w:val="PageNumber"/>
        <w:noProof/>
        <w:rtl/>
      </w:rPr>
      <w:t>2</w:t>
    </w:r>
    <w:r>
      <w:rPr>
        <w:rStyle w:val="PageNumber"/>
        <w:rtl/>
      </w:rPr>
      <w:fldChar w:fldCharType="end"/>
    </w:r>
  </w:p>
  <w:p w14:paraId="7F6961D8" w14:textId="77777777" w:rsidR="002C3041" w:rsidRDefault="002C30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F12E3" w14:textId="77777777" w:rsidR="00143F58" w:rsidRDefault="00143F58">
      <w:r>
        <w:separator/>
      </w:r>
    </w:p>
  </w:footnote>
  <w:footnote w:type="continuationSeparator" w:id="0">
    <w:p w14:paraId="12AE60D4" w14:textId="77777777" w:rsidR="00143F58" w:rsidRDefault="00143F58">
      <w:r>
        <w:continuationSeparator/>
      </w:r>
    </w:p>
  </w:footnote>
  <w:footnote w:type="continuationNotice" w:id="1">
    <w:p w14:paraId="1DF47386" w14:textId="77777777" w:rsidR="00143F58" w:rsidRDefault="00143F58"/>
  </w:footnote>
  <w:footnote w:id="2">
    <w:p w14:paraId="182F29B6" w14:textId="77777777" w:rsidR="00AD19BE" w:rsidRDefault="00AD19BE" w:rsidP="00AD19BE">
      <w:pPr>
        <w:pStyle w:val="FootnoteText"/>
        <w:rPr>
          <w:rtl/>
        </w:rPr>
      </w:pPr>
      <w:r>
        <w:rPr>
          <w:rStyle w:val="FootnoteReference"/>
        </w:rPr>
        <w:footnoteRef/>
      </w:r>
      <w:r>
        <w:rPr>
          <w:rtl/>
        </w:rPr>
        <w:t xml:space="preserve"> </w:t>
      </w:r>
      <w:r>
        <w:rPr>
          <w:rFonts w:hint="cs"/>
          <w:rtl/>
        </w:rPr>
        <w:t>ס"ח התשמ"א, עמ' 128.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54D7"/>
    <w:multiLevelType w:val="hybridMultilevel"/>
    <w:tmpl w:val="7DD6F4FE"/>
    <w:lvl w:ilvl="0" w:tplc="CA0CC0EA">
      <w:start w:val="1"/>
      <w:numFmt w:val="decimal"/>
      <w:lvlText w:val="(%1)"/>
      <w:lvlJc w:val="left"/>
      <w:pPr>
        <w:ind w:left="420" w:hanging="360"/>
      </w:pPr>
      <w:rPr>
        <w:rFonts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D313E2"/>
    <w:multiLevelType w:val="hybridMultilevel"/>
    <w:tmpl w:val="BB12305A"/>
    <w:lvl w:ilvl="0" w:tplc="62D87D8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32D86"/>
    <w:multiLevelType w:val="hybridMultilevel"/>
    <w:tmpl w:val="2744DD1E"/>
    <w:lvl w:ilvl="0" w:tplc="56A08D82">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20237A"/>
    <w:multiLevelType w:val="hybridMultilevel"/>
    <w:tmpl w:val="6DCCB2E8"/>
    <w:lvl w:ilvl="0" w:tplc="E2CEB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7"/>
  </w:num>
  <w:num w:numId="16">
    <w:abstractNumId w:val="10"/>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2840"/>
    <w:rsid w:val="00015B27"/>
    <w:rsid w:val="00063A3E"/>
    <w:rsid w:val="00072CAC"/>
    <w:rsid w:val="0007681A"/>
    <w:rsid w:val="000A542E"/>
    <w:rsid w:val="00102B6B"/>
    <w:rsid w:val="001052D4"/>
    <w:rsid w:val="0010644B"/>
    <w:rsid w:val="001207F8"/>
    <w:rsid w:val="00121924"/>
    <w:rsid w:val="001279A8"/>
    <w:rsid w:val="0014195F"/>
    <w:rsid w:val="00143F58"/>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229EC"/>
    <w:rsid w:val="00735FE9"/>
    <w:rsid w:val="00763CAA"/>
    <w:rsid w:val="00765F66"/>
    <w:rsid w:val="0078664F"/>
    <w:rsid w:val="007C3FA6"/>
    <w:rsid w:val="007D585A"/>
    <w:rsid w:val="007D5A12"/>
    <w:rsid w:val="007E59F9"/>
    <w:rsid w:val="008010A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736EC"/>
    <w:rsid w:val="00982412"/>
    <w:rsid w:val="00983A8D"/>
    <w:rsid w:val="009A0DB8"/>
    <w:rsid w:val="009A7257"/>
    <w:rsid w:val="009D6E0A"/>
    <w:rsid w:val="009D7F88"/>
    <w:rsid w:val="009E1E33"/>
    <w:rsid w:val="00A14672"/>
    <w:rsid w:val="00A26BD6"/>
    <w:rsid w:val="00A443CF"/>
    <w:rsid w:val="00A6611D"/>
    <w:rsid w:val="00A82CB7"/>
    <w:rsid w:val="00A942C1"/>
    <w:rsid w:val="00AA2F03"/>
    <w:rsid w:val="00AC36F7"/>
    <w:rsid w:val="00AC63A4"/>
    <w:rsid w:val="00AD19BE"/>
    <w:rsid w:val="00AD239E"/>
    <w:rsid w:val="00B10265"/>
    <w:rsid w:val="00B16A99"/>
    <w:rsid w:val="00B21211"/>
    <w:rsid w:val="00B35784"/>
    <w:rsid w:val="00B733A7"/>
    <w:rsid w:val="00B75C91"/>
    <w:rsid w:val="00B975AD"/>
    <w:rsid w:val="00BC45FB"/>
    <w:rsid w:val="00BF148D"/>
    <w:rsid w:val="00C23B1A"/>
    <w:rsid w:val="00C310EB"/>
    <w:rsid w:val="00C34E77"/>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2EA0"/>
    <w:rsid w:val="00E63D38"/>
    <w:rsid w:val="00E665B9"/>
    <w:rsid w:val="00EA01E6"/>
    <w:rsid w:val="00EA3DE8"/>
    <w:rsid w:val="00EA758F"/>
    <w:rsid w:val="00EC0C03"/>
    <w:rsid w:val="00ED015C"/>
    <w:rsid w:val="00ED4A6F"/>
    <w:rsid w:val="00EF3A3A"/>
    <w:rsid w:val="00F628D6"/>
    <w:rsid w:val="00F67051"/>
    <w:rsid w:val="00F86A1E"/>
    <w:rsid w:val="00F956D0"/>
    <w:rsid w:val="00FA5E88"/>
    <w:rsid w:val="00FD33F5"/>
    <w:rsid w:val="00FF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Heading1">
    <w:name w:val="heading 1"/>
    <w:basedOn w:val="Normal"/>
    <w:next w:val="Normal"/>
    <w:link w:val="Heading1Char"/>
    <w:qFormat/>
    <w:rsid w:val="00FF49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Normal"/>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Normal"/>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Normal"/>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Normal"/>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EndnoteText">
    <w:name w:val="endnote text"/>
    <w:basedOn w:val="Normal"/>
    <w:semiHidden/>
    <w:rsid w:val="00B975AD"/>
    <w:pPr>
      <w:ind w:left="227" w:hanging="227"/>
    </w:pPr>
    <w:rPr>
      <w:sz w:val="14"/>
      <w:szCs w:val="22"/>
    </w:rPr>
  </w:style>
  <w:style w:type="paragraph" w:customStyle="1" w:styleId="TableText">
    <w:name w:val="Table Text"/>
    <w:basedOn w:val="Normal"/>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Normal"/>
    <w:rsid w:val="00B975AD"/>
    <w:pPr>
      <w:snapToGrid w:val="0"/>
      <w:spacing w:before="0" w:line="360" w:lineRule="auto"/>
    </w:pPr>
    <w:rPr>
      <w:rFonts w:ascii="Arial" w:eastAsia="Arial Unicode MS" w:hAnsi="Arial" w:cs="David"/>
      <w:snapToGrid w:val="0"/>
      <w:spacing w:val="0"/>
      <w:sz w:val="20"/>
      <w:szCs w:val="26"/>
    </w:rPr>
  </w:style>
  <w:style w:type="paragraph" w:styleId="FootnoteText">
    <w:name w:val="footnote text"/>
    <w:aliases w:val="Footnote Text Char + 12 pt,ALTS FOOTNOTE,fn"/>
    <w:basedOn w:val="Normal"/>
    <w:link w:val="FootnoteTextChar"/>
    <w:autoRedefine/>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FootnoteReference">
    <w:name w:val="footnote reference"/>
    <w:aliases w:val="a Footnote Reference"/>
    <w:basedOn w:val="DefaultParagraphFont"/>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EndnoteReference">
    <w:name w:val="endnote reference"/>
    <w:basedOn w:val="DefaultParagraphFont"/>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Header">
    <w:name w:val="header"/>
    <w:basedOn w:val="Normal"/>
    <w:rsid w:val="00B975AD"/>
    <w:pPr>
      <w:tabs>
        <w:tab w:val="center" w:pos="4153"/>
        <w:tab w:val="right" w:pos="8306"/>
      </w:tabs>
    </w:pPr>
  </w:style>
  <w:style w:type="paragraph" w:styleId="Footer">
    <w:name w:val="footer"/>
    <w:basedOn w:val="Normal"/>
    <w:rsid w:val="00B975AD"/>
    <w:pPr>
      <w:tabs>
        <w:tab w:val="center" w:pos="4153"/>
        <w:tab w:val="right" w:pos="8306"/>
      </w:tabs>
    </w:pPr>
  </w:style>
  <w:style w:type="paragraph" w:customStyle="1" w:styleId="HeadDivreiHesber">
    <w:name w:val="Head DivreiHesber"/>
    <w:basedOn w:val="Normal"/>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Normal"/>
    <w:rsid w:val="00B975AD"/>
    <w:pPr>
      <w:snapToGrid w:val="0"/>
      <w:spacing w:before="0" w:line="360" w:lineRule="auto"/>
      <w:jc w:val="left"/>
    </w:pPr>
    <w:rPr>
      <w:rFonts w:ascii="Arial" w:eastAsia="Arial Unicode MS" w:hAnsi="Arial" w:cs="David"/>
      <w:snapToGrid w:val="0"/>
      <w:spacing w:val="0"/>
      <w:sz w:val="20"/>
      <w:szCs w:val="26"/>
    </w:rPr>
  </w:style>
  <w:style w:type="paragraph" w:styleId="Title">
    <w:name w:val="Title"/>
    <w:basedOn w:val="Normal"/>
    <w:qFormat/>
    <w:rsid w:val="00943386"/>
    <w:pPr>
      <w:jc w:val="center"/>
    </w:pPr>
    <w:rPr>
      <w:rFonts w:cs="David"/>
      <w:b/>
      <w:bCs/>
      <w:sz w:val="28"/>
      <w:szCs w:val="28"/>
      <w:u w:val="single"/>
    </w:rPr>
  </w:style>
  <w:style w:type="character" w:styleId="PageNumber">
    <w:name w:val="page number"/>
    <w:basedOn w:val="DefaultParagraphFont"/>
    <w:rsid w:val="00B975AD"/>
  </w:style>
  <w:style w:type="paragraph" w:customStyle="1" w:styleId="David">
    <w:name w:val="רגיל + (עברית ושפות אחרות) David"/>
    <w:aliases w:val="‏13 נק',מודגש,אחרי:  6 נק'"/>
    <w:basedOn w:val="Normal"/>
    <w:rsid w:val="001207F8"/>
    <w:pPr>
      <w:ind w:firstLine="0"/>
      <w:jc w:val="left"/>
    </w:pPr>
    <w:rPr>
      <w:rFonts w:cs="David"/>
      <w:sz w:val="26"/>
      <w:szCs w:val="26"/>
    </w:rPr>
  </w:style>
  <w:style w:type="paragraph" w:styleId="BalloonText">
    <w:name w:val="Balloon Text"/>
    <w:basedOn w:val="Normal"/>
    <w:link w:val="BalloonTextChar"/>
    <w:semiHidden/>
    <w:unhideWhenUsed/>
    <w:rsid w:val="00325C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25C14"/>
    <w:rPr>
      <w:rFonts w:ascii="Tahoma" w:hAnsi="Tahoma" w:cs="Tahoma"/>
      <w:color w:val="000000"/>
      <w:spacing w:val="1"/>
      <w:sz w:val="16"/>
      <w:szCs w:val="16"/>
      <w:lang w:eastAsia="ja-JP"/>
    </w:rPr>
  </w:style>
  <w:style w:type="character" w:customStyle="1" w:styleId="FootnoteTextChar">
    <w:name w:val="Footnote Text Char"/>
    <w:aliases w:val="Footnote Text Char + 12 pt Char,ALTS FOOTNOTE Char,fn Char"/>
    <w:basedOn w:val="DefaultParagraphFont"/>
    <w:link w:val="FootnoteText"/>
    <w:rsid w:val="00C34E77"/>
    <w:rPr>
      <w:rFonts w:ascii="Arial" w:eastAsia="Arial Unicode MS" w:hAnsi="Arial" w:cs="David"/>
      <w:snapToGrid w:val="0"/>
      <w:color w:val="000000"/>
      <w:sz w:val="14"/>
      <w:lang w:eastAsia="ja-JP"/>
    </w:rPr>
  </w:style>
  <w:style w:type="character" w:styleId="Hyperlink">
    <w:name w:val="Hyperlink"/>
    <w:basedOn w:val="DefaultParagraphFont"/>
    <w:uiPriority w:val="99"/>
    <w:unhideWhenUsed/>
    <w:rsid w:val="00C34E77"/>
    <w:rPr>
      <w:color w:val="0000FF" w:themeColor="hyperlink"/>
      <w:u w:val="single"/>
    </w:rPr>
  </w:style>
  <w:style w:type="character" w:customStyle="1" w:styleId="Heading1Char">
    <w:name w:val="Heading 1 Char"/>
    <w:basedOn w:val="DefaultParagraphFont"/>
    <w:link w:val="Heading1"/>
    <w:rsid w:val="00FF49DA"/>
    <w:rPr>
      <w:rFonts w:asciiTheme="majorHAnsi" w:eastAsiaTheme="majorEastAsia" w:hAnsiTheme="majorHAnsi" w:cstheme="majorBidi"/>
      <w:color w:val="365F91" w:themeColor="accent1" w:themeShade="BF"/>
      <w:spacing w:val="1"/>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864D-223D-4925-8039-6FB9E1E9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9973E3-8449-4B5A-8BBC-37F7E168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2206</Words>
  <Characters>11033</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Rani</cp:lastModifiedBy>
  <cp:revision>11</cp:revision>
  <cp:lastPrinted>2017-02-26T10:01:00Z</cp:lastPrinted>
  <dcterms:created xsi:type="dcterms:W3CDTF">2015-04-20T09:58:00Z</dcterms:created>
  <dcterms:modified xsi:type="dcterms:W3CDTF">2017-10-30T09:28:00Z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2013152</vt:r8>
  </property>
</Properties>
</file>